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Septerna,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001-42382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84-3891440</w:t>
            </w:r>
          </w:p>
        </w:tc>
      </w:tr>
      <w:tr>
        <w:trPr>
          <w:trHeight w:val="149"/>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250 East Grand Avenue</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650 338-3533</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matters voted on at the 2026 annual meeting of stockholders of Septerna, Inc. (the “Company”), held on June 26, 2026 (the “Annual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stockholders elected Shalini Sharp, M.B.A. and Jake Simson, Ph.D. to the Company’s Board of Directors (the “Board”) as Class II directors, each for a three-year term ending at the annual meeting of stockholders of the Company to be held in 2029 and each until his or her respective successor has been duly elected and qualified or until his or her earlier death, resignation or removal. The results of the stockholders’ vote with respect to the election of the Class II directors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6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30"/>
        </w:trPr>
        <w:tc>
          <w:tcPr>
            <w:tcW w:w="3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CLASS II DIRECTOR NOMINEE</w:t>
            </w:r>
          </w:p>
        </w:tc>
        <w:tc>
          <w:tcPr>
            <w:tcW w:w="2600" w:type="dxa"/>
            <w:vAlign w:val="bottom"/>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20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108"/>
        </w:trPr>
        <w:tc>
          <w:tcPr>
            <w:tcW w:w="3820" w:type="dxa"/>
            <w:vAlign w:val="bottom"/>
            <w:tcBorders>
              <w:bottom w:val="single" w:sz="8" w:color="auto"/>
            </w:tcBorders>
            <w:vMerge w:val="continue"/>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Shalini Sharp, M.B.A.</w:t>
            </w:r>
          </w:p>
        </w:tc>
        <w:tc>
          <w:tcPr>
            <w:tcW w:w="2600" w:type="dxa"/>
            <w:vAlign w:val="bottom"/>
            <w:shd w:val="clear" w:color="auto" w:fill="DAEEF3"/>
          </w:tcPr>
          <w:p>
            <w:pPr>
              <w:jc w:val="center"/>
              <w:ind w:left="350"/>
              <w:spacing w:after="0"/>
              <w:rPr>
                <w:sz w:val="20"/>
                <w:szCs w:val="20"/>
                <w:color w:val="auto"/>
              </w:rPr>
            </w:pPr>
            <w:r>
              <w:rPr>
                <w:rFonts w:ascii="Times New Roman" w:cs="Times New Roman" w:eastAsia="Times New Roman" w:hAnsi="Times New Roman"/>
                <w:sz w:val="18"/>
                <w:szCs w:val="18"/>
                <w:color w:val="auto"/>
                <w:w w:val="98"/>
              </w:rPr>
              <w:t>33,732,317</w:t>
            </w:r>
          </w:p>
        </w:tc>
        <w:tc>
          <w:tcPr>
            <w:tcW w:w="2680" w:type="dxa"/>
            <w:vAlign w:val="bottom"/>
            <w:shd w:val="clear" w:color="auto" w:fill="DAEEF3"/>
          </w:tcPr>
          <w:p>
            <w:pPr>
              <w:jc w:val="center"/>
              <w:ind w:left="70"/>
              <w:spacing w:after="0"/>
              <w:rPr>
                <w:sz w:val="20"/>
                <w:szCs w:val="20"/>
                <w:color w:val="auto"/>
              </w:rPr>
            </w:pPr>
            <w:r>
              <w:rPr>
                <w:rFonts w:ascii="Times New Roman" w:cs="Times New Roman" w:eastAsia="Times New Roman" w:hAnsi="Times New Roman"/>
                <w:sz w:val="18"/>
                <w:szCs w:val="18"/>
                <w:color w:val="auto"/>
                <w:w w:val="99"/>
              </w:rPr>
              <w:t>5,808,264</w:t>
            </w:r>
          </w:p>
        </w:tc>
        <w:tc>
          <w:tcPr>
            <w:tcW w:w="2020" w:type="dxa"/>
            <w:vAlign w:val="bottom"/>
            <w:shd w:val="clear" w:color="auto" w:fill="DAEEF3"/>
          </w:tcPr>
          <w:p>
            <w:pPr>
              <w:jc w:val="center"/>
              <w:ind w:left="90"/>
              <w:spacing w:after="0"/>
              <w:rPr>
                <w:sz w:val="20"/>
                <w:szCs w:val="20"/>
                <w:color w:val="auto"/>
              </w:rPr>
            </w:pPr>
            <w:r>
              <w:rPr>
                <w:rFonts w:ascii="Times New Roman" w:cs="Times New Roman" w:eastAsia="Times New Roman" w:hAnsi="Times New Roman"/>
                <w:sz w:val="18"/>
                <w:szCs w:val="18"/>
                <w:color w:val="auto"/>
                <w:w w:val="99"/>
              </w:rPr>
              <w:t>1,969,475</w:t>
            </w:r>
          </w:p>
        </w:tc>
        <w:tc>
          <w:tcPr>
            <w:tcW w:w="0" w:type="dxa"/>
            <w:vAlign w:val="bottom"/>
          </w:tcPr>
          <w:p>
            <w:pPr>
              <w:spacing w:after="0"/>
              <w:rPr>
                <w:sz w:val="1"/>
                <w:szCs w:val="1"/>
                <w:color w:val="auto"/>
              </w:rPr>
            </w:pPr>
          </w:p>
        </w:tc>
      </w:tr>
      <w:tr>
        <w:trPr>
          <w:trHeight w:val="234"/>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Jake Simson, Ph.D.</w:t>
            </w:r>
          </w:p>
        </w:tc>
        <w:tc>
          <w:tcPr>
            <w:tcW w:w="26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33,716,857</w:t>
            </w:r>
          </w:p>
        </w:tc>
        <w:tc>
          <w:tcPr>
            <w:tcW w:w="2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5,823,724</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1,969,475</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 The results of the stockholders’ vote with respect to such ratification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680" w:type="dxa"/>
            <w:vAlign w:val="bottom"/>
            <w:shd w:val="clear" w:color="auto" w:fill="DAEEF3"/>
          </w:tcPr>
          <w:p>
            <w:pPr>
              <w:jc w:val="right"/>
              <w:ind w:right="790"/>
              <w:spacing w:after="0"/>
              <w:rPr>
                <w:sz w:val="20"/>
                <w:szCs w:val="20"/>
                <w:color w:val="auto"/>
              </w:rPr>
            </w:pPr>
            <w:r>
              <w:rPr>
                <w:rFonts w:ascii="Times New Roman" w:cs="Times New Roman" w:eastAsia="Times New Roman" w:hAnsi="Times New Roman"/>
                <w:sz w:val="18"/>
                <w:szCs w:val="18"/>
                <w:color w:val="auto"/>
              </w:rPr>
              <w:t>41,207,237</w:t>
            </w:r>
          </w:p>
        </w:tc>
        <w:tc>
          <w:tcPr>
            <w:tcW w:w="3060" w:type="dxa"/>
            <w:vAlign w:val="bottom"/>
            <w:shd w:val="clear" w:color="auto" w:fill="DAEEF3"/>
          </w:tcPr>
          <w:p>
            <w:pPr>
              <w:jc w:val="right"/>
              <w:ind w:right="1270"/>
              <w:spacing w:after="0"/>
              <w:rPr>
                <w:sz w:val="20"/>
                <w:szCs w:val="20"/>
                <w:color w:val="auto"/>
              </w:rPr>
            </w:pPr>
            <w:r>
              <w:rPr>
                <w:rFonts w:ascii="Times New Roman" w:cs="Times New Roman" w:eastAsia="Times New Roman" w:hAnsi="Times New Roman"/>
                <w:sz w:val="18"/>
                <w:szCs w:val="18"/>
                <w:color w:val="auto"/>
              </w:rPr>
              <w:t>4,008</w:t>
            </w:r>
          </w:p>
        </w:tc>
        <w:tc>
          <w:tcPr>
            <w:tcW w:w="2340" w:type="dxa"/>
            <w:vAlign w:val="bottom"/>
            <w:shd w:val="clear" w:color="auto" w:fill="DAEEF3"/>
          </w:tcPr>
          <w:p>
            <w:pPr>
              <w:jc w:val="right"/>
              <w:ind w:right="730"/>
              <w:spacing w:after="0"/>
              <w:rPr>
                <w:sz w:val="20"/>
                <w:szCs w:val="20"/>
                <w:color w:val="auto"/>
              </w:rPr>
            </w:pPr>
            <w:r>
              <w:rPr>
                <w:rFonts w:ascii="Times New Roman" w:cs="Times New Roman" w:eastAsia="Times New Roman" w:hAnsi="Times New Roman"/>
                <w:sz w:val="18"/>
                <w:szCs w:val="18"/>
                <w:color w:val="auto"/>
              </w:rPr>
              <w:t>298,811</w:t>
            </w:r>
          </w:p>
        </w:tc>
        <w:tc>
          <w:tcPr>
            <w:tcW w:w="3040" w:type="dxa"/>
            <w:vAlign w:val="bottom"/>
            <w:shd w:val="clear" w:color="auto" w:fill="DAEEF3"/>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Septerna, Inc.</w:t>
      </w:r>
    </w:p>
    <w:p>
      <w:pPr>
        <w:spacing w:after="0" w:line="374" w:lineRule="exact"/>
        <w:rPr>
          <w:sz w:val="20"/>
          <w:szCs w:val="20"/>
          <w:color w:val="auto"/>
        </w:rPr>
      </w:pPr>
    </w:p>
    <w:p>
      <w:pPr>
        <w:spacing w:after="0"/>
        <w:tabs>
          <w:tab w:leader="none" w:pos="660" w:val="left"/>
          <w:tab w:leader="none" w:pos="562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Finer,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Jeffrey Finer, M.D., Ph.D</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2026-06-30T16:09:19Z</dcterms:created>
  <dcterms:modified xsi:type="dcterms:W3CDTF">2026-06-30T16:09:19Z</dcterms:modified>
</cp:coreProperties>
</file>