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283"/>
        <w:jc w:val="center"/>
        <w:rPr/>
      </w:pPr>
      <w:bookmarkStart w:id="0" w:name="sepn-20260331.htm"/>
      <w:bookmarkStart w:id="1" w:name="kssepn20260331"/>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 to 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001-42382</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Septerna,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84-3891440</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pPr>
            <w:r>
              <w:rPr/>
              <w:t>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250 East Grand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(650) 338-3533</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May 7, 2026, the registrant had 45,075,533</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5" w:type="dxa"/>
        <w:jc w:val="left"/>
        <w:tblInd w:w="0" w:type="dxa"/>
        <w:tblLayout w:type="fixed"/>
        <w:tblCellMar>
          <w:top w:w="28" w:type="dxa"/>
          <w:left w:w="28" w:type="dxa"/>
          <w:bottom w:w="28" w:type="dxa"/>
          <w:right w:w="28" w:type="dxa"/>
        </w:tblCellMar>
      </w:tblPr>
      <w:tblGrid>
        <w:gridCol w:w="886"/>
        <w:gridCol w:w="7366"/>
        <w:gridCol w:w="573"/>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vii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vii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vii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_operations_comp_loss">
              <w:r>
                <w:rPr>
                  <w:rStyle w:val="InternetLink"/>
                  <w:rFonts w:ascii="Times New Roman" w:hAnsi="Times New Roman"/>
                  <w:color w:val="0000FF"/>
                  <w:sz w:val="20"/>
                  <w:u w:val="single"/>
                </w:rPr>
                <w:t>Condensed Statements of Operations and Comprehensive Loss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viii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_conve_stock_deficit">
              <w:r>
                <w:rPr>
                  <w:rStyle w:val="InternetLink"/>
                  <w:rFonts w:ascii="Times New Roman" w:hAnsi="Times New Roman"/>
                  <w:color w:val="0000FF"/>
                  <w:sz w:val="20"/>
                  <w:u w:val="single"/>
                </w:rPr>
                <w:t>Condensed Statements of Stockholders’ Equity</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ix</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x</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Condensed Financial Statements (unaudited)</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
              <w:r>
                <w:rPr>
                  <w:rStyle w:val="InternetLink"/>
                  <w:rFonts w:ascii="Times New Roman" w:hAnsi="Times New Roman"/>
                  <w:color w:val="0000FF"/>
                  <w:sz w:val="20"/>
                  <w:u w:val="single"/>
                </w:rPr>
                <w:t>Quantitative and Qualitative Disclosures About Market Risk</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_">
              <w:r>
                <w:rPr>
                  <w:rStyle w:val="InternetLink"/>
                  <w:rFonts w:ascii="Times New Roman" w:hAnsi="Times New Roman"/>
                  <w:color w:val="0000FF"/>
                  <w:sz w:val="20"/>
                  <w:u w:val="single"/>
                </w:rPr>
                <w:t>Controls and Procedures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own various U.S. federal trademark applications and unregistered trademarks, including our company name and logo, that we use in connection with the operation of our business. This Quarterly Report on Form 10-Q (this “Quarterly Report”) includes our trademarks and trade names which are protected under applicable intellectual property laws and are our property. This Quarterly Report also contains trademarks, trade names and service marks of other companies, which are the property of their respective owners. Solely for convenience, trademarks, trade names and service marks referred to in this Quarterly Report may appear without the ®, 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use our website as well as social media, including our X (formerly known as Twitter) account at Septerna_Inc and our LinkedIn account at https://www.linkedin.com/company/septernainc/ to distribute material information about us and for complying with our disclosure obligations under Regulation FD. Our financial and other material information is routinely posted to and accessible on the Investors section of our website, available at www.Septerna.com. Investors are encouraged to review the Investors section of our website because we may post material information on that site that is not otherwise disseminated by us. Information that is contained in and can be accessed through our website or our social media are not incorporated into, and does not form a part of, this Quarterly Report.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fwd_looking_stmts"/>
      <w:bookmarkEnd w:id="2"/>
      <w:r>
        <w:rPr>
          <w:rFonts w:ascii="Times New Roman" w:hAnsi="Times New Roman"/>
          <w:b/>
          <w:color w:val="000000"/>
          <w:sz w:val="20"/>
        </w:rPr>
        <w:t>SPECIAL NOTE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Quarterly Report 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timing, progress, results and costs of conducting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current and future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therapeutic benefits of our product candidates, including our SEP-479 and SEP-631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ability to demonstrate, and the timing of, preclinical proof-of-concept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ex vivo</w:t>
      </w:r>
      <w:r>
        <w:rPr>
          <w:color w:val="000000"/>
        </w:rPr>
        <w:t xml:space="preserve"> </w:t>
      </w:r>
      <w:r>
        <w:rPr>
          <w:rFonts w:ascii="Times New Roman" w:hAnsi="Times New Roman"/>
          <w:color w:val="000000"/>
          <w:sz w:val="20"/>
        </w:rPr>
        <w:t>for multiple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replicate positive results achieved in our preclinical studies or clinical trials in current or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for our current and future product candidates and research and development programs, including our SEP-479 and SEP-631 programs, and to advance any product candidates that we may identify and successfully complete any clinical studies, including the manufacture of any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scope and likelihood of regulatory filings and approvals, including timing of Investigational New Drug (“IND”) applications or comparable foreign applications, and final U.S. Food and Drug Administration (the “FDA”)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scope or likelihood of foreign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product candidates, and technology;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leverage programs within our initial target indications and to progress additional programs to further develop our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preclinical studies and clinical trials to demonstrate safety and efficacy of our product candidates, and other positive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partnership with Novo Nordisk A/S (“Novo”) and the intended and potential benefits thereof, including the receipt of potential milestone and royalty payments from commercial product sales, along with tiered royalties based on global net sales,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Novo's ability to develop and commercialize potential oral small molecule therapies for metabolic-related diseases and the potential of G protein-coupled receptors, including the GLP-1, GIP, and glucagon receptors, to address the unmet medical need for treating obesity, type 2 diabetes and other related conditions;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collaborations and strategic partnerships, to identify and enter into future license agreements and collaborations, and to realize the intended and potential benefits of such agreements and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rely on third-party manufacturers and successfully manufacture product candidates for preclinical use, clinical trials and on a larger scale for commercial use,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realize the benefits of collaborations for the development and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related to our proprietary Native Complex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for and ability to attract and retain key scientific, management and other personnel and to identify, hire, and retain additional qualified professionals;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period during which we will remain an emerging growth company under the Jumpstart Our Business Startups Act of 2012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period over which we expect our existing cash, cash equivalents and investments will be sufficient to fund our operating expenses and capital expenditure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 and estimates of our future expenses,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macroeconomic and geopolitical developments (such as the recent conflict in Iran, as well as ongoing conflicts in Ukraine, and in the Middle East) on our business, including inflationary pressures and capital market disruptions, changes in or disruptions of U.S. governmental agencies, whether from a future U.S. federal government shutdown or reduced resources, new or increased international tariffs and retaliatory tariffs, trade protection measures, economic sanctions and economic slowdowns or recessions that may result from such developments which could harm our research and development efforts as well as the value of our common stock and our ability to access capital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section titled “Risk Factors” in Part II, Item 1A in this Quarterly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terminology such as “may,” “might,” “will,” “could,” “would,” “should,” “expect,” “plan,” “anticipate,” “intend,” “believe,” “estimate,” “seek,” “predict,” “future,” “project,” “potential,” “continue,” “target,” “contemplate,” “possible,” “can,”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“Summary of Material and Other Risks Associated With our Business” below and under the caption “Risk Factors” in our filings with the Securities and Exchange Commission (the “SEC”)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the SEC thereto completely and with the understanding that our actual future results may be materially different from any future results expressed or implied by these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forward-looking statements in this Quarterly Report represent our views as of the date of this Quarterly Report. We do not undertake any obligation to publicly update any forward-looking statement except to the extent required by applicable law. You should therefore not rely on these forward-looking statements as representing our views as of any date subsequent to the date of this Quarterly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Quarterly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contains summaries of certain provisions contained in some of the documents described herein, but reference is made to the actual documents for complete information. All of the summaries are qualified in their entirety by the actual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documents. Copies of some of the documents referred to herein have been filed as exhibits to this Quarterly Report. Unless the context otherwise requires, reference in this Quarterly Report to the terms “Septerna,” “the Company,” “we,” “us,” “our,” and similar designations refer to Septerna, Inc.</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OF MATERIAL AND OTHER RISKS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numerous risks and uncertainties and are subject to change based on various factors, including those highlighted in this section, and in the section entitled “Risk Factors” in our filings with the SEC and elsewhere in this Quarterly Report.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incurred significant operating losses since our inception and expect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substantial additional funding in order to finance our operations.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early in our development efforts. We have not successfully completed any advanced clinical trials,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therapeutic candidates or any of our future therapeutic candidates on a timely basis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are subject to extensive regulation and compliance obligations, which is costly and time-consuming and which may cause unanticipated delays or prevent the receipt of the required approvals to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proprietary Native Complex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no marketing and sales organization and have no experience as a company in commercializing products, and we may invest significant resources to develop these capabilities. If we are unable to establish marketing, sales or distribution capabilities or enter into agreements with third parties to market and sell our products, we may not be able to generate product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of our product candidates receive marketing approval, such product candidate may fail to achieve market acceptance by physicians, patients, third-party payors or others in the medical community necessary for commercial success, in which case we may not generate significant revenues or become profitable.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manufacturers, clinical research organizations (“CROs”), contract manufacturing organizations (“CMOs”), and suppliers to supply, develop and test components of our product candidates. The loss of our third-party manufacturers, CROs, CMOs, or suppliers, their failure to comply with applicable regulatory requirements or to supply sufficient quantities at acceptable quality levels or prices, or at all, or changes in methods of product candidate manufacturing, development or formulation would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material and other risks summarized above should be read together with the text of the full risk factors and in the other information set forth in our filings with the SEC and in this Quarterly Report, including our financial statements and the related notes, </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well as in other documents that we file with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SEPTERNA, INC.</w:t>
      </w:r>
    </w:p>
    <w:p>
      <w:pPr>
        <w:pStyle w:val="TextBody"/>
        <w:bidi w:val="0"/>
        <w:jc w:val="center"/>
        <w:rPr>
          <w:rFonts w:ascii="Times New Roman" w:hAnsi="Times New Roman"/>
          <w:b/>
          <w:color w:val="000000"/>
          <w:sz w:val="20"/>
        </w:rPr>
      </w:pPr>
      <w:bookmarkStart w:id="5" w:name="condensed_balance_sheets"/>
      <w:bookmarkEnd w:id="5"/>
      <w:r>
        <w:rPr>
          <w:rFonts w:ascii="Times New Roman" w:hAnsi="Times New Roman"/>
          <w:b/>
          <w:color w:val="000000"/>
          <w:sz w:val="20"/>
        </w:rPr>
        <w:t>Condensed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057" w:type="dxa"/>
        <w:jc w:val="left"/>
        <w:tblInd w:w="0" w:type="dxa"/>
        <w:tblLayout w:type="fixed"/>
        <w:tblCellMar>
          <w:top w:w="28" w:type="dxa"/>
          <w:left w:w="28" w:type="dxa"/>
          <w:bottom w:w="28" w:type="dxa"/>
          <w:right w:w="28" w:type="dxa"/>
        </w:tblCellMar>
      </w:tblPr>
      <w:tblGrid>
        <w:gridCol w:w="6641"/>
        <w:gridCol w:w="146"/>
        <w:gridCol w:w="211"/>
        <w:gridCol w:w="841"/>
        <w:gridCol w:w="166"/>
        <w:gridCol w:w="146"/>
        <w:gridCol w:w="219"/>
        <w:gridCol w:w="876"/>
        <w:gridCol w:w="811"/>
      </w:tblGrid>
      <w:tr>
        <w:trPr/>
        <w:tc>
          <w:tcPr>
            <w:tcW w:w="6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410,964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596,187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214,261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Preferred stock, $0.001 par value per share; 10,000,000 shares authorized as of </w:t>
              <w:br/>
              <w:t xml:space="preserve">   March 31, 2026 and December 31, 2025; no shares issued and outstanding as </w:t>
              <w:br/>
              <w:t>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per share, 500,000,000 shares</w:t>
              <w:br/>
              <w:t>   authorized at March 31, 2026 and December 31, 2025; 44,916,572 and</w:t>
              <w:br/>
              <w:t xml:space="preserve">   44,806,272 shares issued and outstanding at March 31, 2026 and December </w:t>
              <w:br/>
              <w:t>   31, 2025, respectively; 75,247 and 131,224 shares subject to repurchase as of</w:t>
              <w:br/>
              <w: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596,187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vii</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SEPTERNA, INC.</w:t>
      </w:r>
    </w:p>
    <w:p>
      <w:pPr>
        <w:pStyle w:val="TextBody"/>
        <w:bidi w:val="0"/>
        <w:spacing w:before="240" w:after="283"/>
        <w:jc w:val="center"/>
        <w:rPr>
          <w:rFonts w:ascii="Times New Roman" w:hAnsi="Times New Roman"/>
          <w:b/>
          <w:color w:val="000000"/>
          <w:sz w:val="20"/>
        </w:rPr>
      </w:pPr>
      <w:bookmarkStart w:id="6" w:name="condensed_state_operations_comp_loss"/>
      <w:bookmarkEnd w:id="6"/>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42"/>
        <w:gridCol w:w="146"/>
        <w:gridCol w:w="211"/>
        <w:gridCol w:w="1036"/>
        <w:gridCol w:w="566"/>
        <w:gridCol w:w="546"/>
        <w:gridCol w:w="211"/>
        <w:gridCol w:w="1036"/>
        <w:gridCol w:w="611"/>
      </w:tblGrid>
      <w:tr>
        <w:trPr/>
        <w:tc>
          <w:tcPr>
            <w:tcW w:w="5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44,758,800</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43,937,410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viii</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SEPTERNA, INC.</w:t>
      </w:r>
    </w:p>
    <w:p>
      <w:pPr>
        <w:pStyle w:val="TextBody"/>
        <w:bidi w:val="0"/>
        <w:spacing w:before="240" w:after="283"/>
        <w:jc w:val="center"/>
        <w:rPr>
          <w:rFonts w:ascii="Times New Roman" w:hAnsi="Times New Roman"/>
          <w:b/>
          <w:color w:val="000000"/>
          <w:sz w:val="20"/>
        </w:rPr>
      </w:pPr>
      <w:bookmarkStart w:id="7" w:name="condensed_state_conve_stock_deficit"/>
      <w:bookmarkEnd w:id="7"/>
      <w:r>
        <w:rPr>
          <w:rFonts w:ascii="Times New Roman" w:hAnsi="Times New Roman"/>
          <w:b/>
          <w:color w:val="000000"/>
          <w:sz w:val="20"/>
        </w:rPr>
        <w:t>Condensed 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shares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8397" w:type="dxa"/>
        <w:jc w:val="left"/>
        <w:tblInd w:w="0" w:type="dxa"/>
        <w:tblLayout w:type="fixed"/>
        <w:tblCellMar>
          <w:top w:w="28" w:type="dxa"/>
          <w:left w:w="28" w:type="dxa"/>
          <w:bottom w:w="28" w:type="dxa"/>
          <w:right w:w="28" w:type="dxa"/>
        </w:tblCellMar>
      </w:tblPr>
      <w:tblGrid>
        <w:gridCol w:w="1776"/>
        <w:gridCol w:w="146"/>
        <w:gridCol w:w="146"/>
        <w:gridCol w:w="766"/>
        <w:gridCol w:w="146"/>
        <w:gridCol w:w="146"/>
        <w:gridCol w:w="181"/>
        <w:gridCol w:w="346"/>
        <w:gridCol w:w="146"/>
        <w:gridCol w:w="146"/>
        <w:gridCol w:w="181"/>
        <w:gridCol w:w="586"/>
        <w:gridCol w:w="146"/>
        <w:gridCol w:w="146"/>
        <w:gridCol w:w="249"/>
        <w:gridCol w:w="667"/>
        <w:gridCol w:w="151"/>
        <w:gridCol w:w="146"/>
        <w:gridCol w:w="181"/>
        <w:gridCol w:w="631"/>
        <w:gridCol w:w="151"/>
        <w:gridCol w:w="146"/>
        <w:gridCol w:w="187"/>
        <w:gridCol w:w="608"/>
        <w:gridCol w:w="276"/>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44,806,272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381,926</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w:t>
              <w:br/>
              <w:t>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Vesting of restricted common </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Stock-based compensation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6,015</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Net unrealized loss on </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(1,186</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(8,637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44,916,572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(175,890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378,458</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8387" w:type="dxa"/>
        <w:jc w:val="left"/>
        <w:tblInd w:w="0" w:type="dxa"/>
        <w:tblLayout w:type="fixed"/>
        <w:tblCellMar>
          <w:top w:w="28" w:type="dxa"/>
          <w:left w:w="28" w:type="dxa"/>
          <w:bottom w:w="28" w:type="dxa"/>
          <w:right w:w="28" w:type="dxa"/>
        </w:tblCellMar>
      </w:tblPr>
      <w:tblGrid>
        <w:gridCol w:w="1776"/>
        <w:gridCol w:w="146"/>
        <w:gridCol w:w="146"/>
        <w:gridCol w:w="766"/>
        <w:gridCol w:w="146"/>
        <w:gridCol w:w="146"/>
        <w:gridCol w:w="181"/>
        <w:gridCol w:w="346"/>
        <w:gridCol w:w="146"/>
        <w:gridCol w:w="146"/>
        <w:gridCol w:w="181"/>
        <w:gridCol w:w="586"/>
        <w:gridCol w:w="146"/>
        <w:gridCol w:w="146"/>
        <w:gridCol w:w="314"/>
        <w:gridCol w:w="602"/>
        <w:gridCol w:w="146"/>
        <w:gridCol w:w="146"/>
        <w:gridCol w:w="181"/>
        <w:gridCol w:w="631"/>
        <w:gridCol w:w="151"/>
        <w:gridCol w:w="146"/>
        <w:gridCol w:w="187"/>
        <w:gridCol w:w="608"/>
        <w:gridCol w:w="27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44,422,505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420,047</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w:t>
              <w:br/>
              <w:t>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Vesting of restricted common </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Stock-based compensation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Net unrealized gain on </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44,448,435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539,874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(139,850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400,266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ix</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SEPTERNA, INC.</w:t>
      </w:r>
    </w:p>
    <w:p>
      <w:pPr>
        <w:pStyle w:val="TextBody"/>
        <w:bidi w:val="0"/>
        <w:spacing w:before="240" w:after="283"/>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6131"/>
        <w:gridCol w:w="146"/>
        <w:gridCol w:w="215"/>
        <w:gridCol w:w="857"/>
        <w:gridCol w:w="169"/>
        <w:gridCol w:w="148"/>
        <w:gridCol w:w="215"/>
        <w:gridCol w:w="795"/>
        <w:gridCol w:w="591"/>
      </w:tblGrid>
      <w:tr>
        <w:trPr/>
        <w:tc>
          <w:tcPr>
            <w:tcW w:w="6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360"/>
        <w:jc w:val="left"/>
        <w:rPr>
          <w:rFonts w:ascii="Times New Roman" w:hAnsi="Times New Roman"/>
          <w:sz w:val="20"/>
        </w:rPr>
      </w:pPr>
      <w:r>
        <w:rPr>
          <w:rFonts w:ascii="Times New Roman" w:hAnsi="Times New Roman"/>
          <w:b/>
          <w:color w:val="000000"/>
          <w:sz w:val="20"/>
        </w:rPr>
        <w:t>Cash, Cash Equivalents and Restricted Cash</w:t>
      </w:r>
      <w:r>
        <w:rPr>
          <w:rFonts w:ascii="Times New Roman" w:hAnsi="Times New Roman"/>
          <w:color w:val="000000"/>
          <w:sz w:val="20"/>
        </w:rPr>
        <w:t>:</w:t>
      </w:r>
    </w:p>
    <w:tbl>
      <w:tblPr>
        <w:tblW w:w="7874" w:type="dxa"/>
        <w:jc w:val="left"/>
        <w:tblInd w:w="0" w:type="dxa"/>
        <w:tblLayout w:type="fixed"/>
        <w:tblCellMar>
          <w:top w:w="28" w:type="dxa"/>
          <w:left w:w="28" w:type="dxa"/>
          <w:bottom w:w="28" w:type="dxa"/>
          <w:right w:w="28" w:type="dxa"/>
        </w:tblCellMar>
      </w:tblPr>
      <w:tblGrid>
        <w:gridCol w:w="5266"/>
        <w:gridCol w:w="146"/>
        <w:gridCol w:w="211"/>
        <w:gridCol w:w="676"/>
        <w:gridCol w:w="146"/>
        <w:gridCol w:w="146"/>
        <w:gridCol w:w="211"/>
        <w:gridCol w:w="781"/>
        <w:gridCol w:w="2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x</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bookmarkStart w:id="9" w:name="notes_to_fs"/>
      <w:bookmarkEnd w:id="9"/>
      <w:r>
        <w:rPr>
          <w:rFonts w:ascii="Times New Roman" w:hAnsi="Times New Roman"/>
          <w:b/>
          <w:caps/>
          <w:color w:val="000000"/>
          <w:sz w:val="20"/>
        </w:rPr>
        <w:t>Notes to UNAUDITED Condensed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 and Basis of Presentation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Septerna, Inc. (“Septerna” or the “Company”) is a clinical-stage biotechnology company with a world-class team of G protein-coupled receptor (“GPCR”) experts and drug developers advancing cutting-edge science to unlock the full potential of GPCR therapies for patients with significant unmet needs. The Company’s proprietary Native Complex Platform® is designed to enable new approaches to GPCR drug discovery and has led to the development of a diverse pipeline of novel oral small molecule drug candidates. The Company is advancing programs in endocrinology, immunology and inflammation, metabolic diseases and additional therapeutic areas, both independently and with partners.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proprietary Native Complex Platform® replicates the natural structure, function, and dynamics of GPCRs outside of cells at an industrial scale. The Company’s foundational technologies enable it to isolate, purify, and reconstitute full-length, properly folded GPCR proteins within ternary complexes with ligands and transducer proteins in a lipid bilayer that mimics the cell membrane. The Company then applies state-of-the-art discovery tools and technologies to these defined and tunable protein complexes to structurally design, screen for, and optimize potential product candidates. Leveraging its platform, the Company has transformed GPCR oral small molecule drug discovery to an industrialized and iterative structure-based drug design approach to expand the landscape of druggable GPCR targets with novel oral small molecule medicines for patients. The Company’s Native Complex Platform® is designed to enable it to target certain GPCRs for the first time, uncover novel binding pockets for validated receptors, and pursue a wide spectrum of pharmacologies, including agonists, antagonists, and allosteric modulators, to affect GPCR signaling in different ways to achieve desired therapeutic effects.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was incorporated in Delaware in December 2019, under the name GPCR NewCo, Inc. In June 2021, the Company changed its name to Septerna, Inc. The Company is headquartered in South San Francisco, California.</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interim condensed financial statements have been prepared in conformity with generally accepted accounting principles in the United States of America (“U.S. GAAP”) stated in U.S. dollars and include all adjustments necessary for the fair presentation of the Company’s interim financial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balance sheet data at December 31, 2025 was derived from the audited financial statements included in Septerna’s Annual Report on Form 10-K for the year ended December 31, 2025 as filed with the Securities and Exchange Commission (“SEC”) on March 9, 2026. These interim unaudited condensed financial statements should be read in conjunction with the audited financial statements and related notes thereto included in the Company’s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the Company will continue as a going concern, which assumes that the Company will realize its assets and satisfy its liabilities in the normal course of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the Company had cash, cash equivalents and marketable securities of $522.1 million, which the Company believes will be sufficient to fund its planned operations for a period of, at least, twelve months following the date of filing of this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there were no changes to the Company’s significant accounting policies as described in Note 2 of the audited financial statements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Financial Accounting Standards Board (“FASB”) issued Accounting Standards Update (“ASU”) No.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a practical expedient that assumes that current conditions as of the balance sheet date do not change for the remaining life of the asset in developing reasonable and supportable forecasts during the application of the current expected credit loss model for current accounts receivable and current contract assets arising from transactions under ASC 606. ASU 2025-05 is effective for fiscal years beginning after December 15, 2025 and interim reporting periods within those annual reporting periods. Early adoption is permitted. The Company determined there is no impact of adopting ASU 2025-05 as it does not develop forecasts as part of estimating expected credit losses.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under its Accounting Standards Codification (“ASC”) or other standard setting bodies, and adopted by the Company as of the specified date.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an accounting standard update that requires the Company to disclose more detailed information about the types of expenses (including employee compensation, depreciation, and amortization) included in each relevant income statement expense caption. The ASU is effective for fiscal years beginning after December 15, 2026, and interim reporting periods beginning after December 15, 2027. Early adoption is permitted. The Company is currently evaluating the impact that this update will have on its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Restricted cash is comprised of cash that is restricted as to withdrawal or use under the terms of certain contractual agreements. In connection with the Company’s lease agreement, the Company is required to maintain a collateral account to secure a letter of credit issued to its landlord. The collateral account is classified as restricted cash on the Company’s condensed balance sheets.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tbl>
      <w:tblPr>
        <w:tblW w:w="7270" w:type="dxa"/>
        <w:jc w:val="left"/>
        <w:tblInd w:w="0" w:type="dxa"/>
        <w:tblLayout w:type="fixed"/>
        <w:tblCellMar>
          <w:top w:w="28" w:type="dxa"/>
          <w:left w:w="28" w:type="dxa"/>
          <w:bottom w:w="28" w:type="dxa"/>
          <w:right w:w="28" w:type="dxa"/>
        </w:tblCellMar>
      </w:tblPr>
      <w:tblGrid>
        <w:gridCol w:w="3651"/>
        <w:gridCol w:w="146"/>
        <w:gridCol w:w="344"/>
        <w:gridCol w:w="931"/>
        <w:gridCol w:w="146"/>
        <w:gridCol w:w="146"/>
        <w:gridCol w:w="407"/>
        <w:gridCol w:w="110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tbl>
      <w:tblPr>
        <w:tblW w:w="7815" w:type="dxa"/>
        <w:jc w:val="left"/>
        <w:tblInd w:w="0" w:type="dxa"/>
        <w:tblLayout w:type="fixed"/>
        <w:tblCellMar>
          <w:top w:w="28" w:type="dxa"/>
          <w:left w:w="28" w:type="dxa"/>
          <w:bottom w:w="28" w:type="dxa"/>
          <w:right w:w="28" w:type="dxa"/>
        </w:tblCellMar>
      </w:tblPr>
      <w:tblGrid>
        <w:gridCol w:w="4156"/>
        <w:gridCol w:w="146"/>
        <w:gridCol w:w="319"/>
        <w:gridCol w:w="956"/>
        <w:gridCol w:w="166"/>
        <w:gridCol w:w="146"/>
        <w:gridCol w:w="379"/>
        <w:gridCol w:w="1136"/>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and amortization expense was $0.4 million for each of the three month periods ended March 31,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tbl>
      <w:tblPr>
        <w:tblW w:w="7645" w:type="dxa"/>
        <w:jc w:val="left"/>
        <w:tblInd w:w="0" w:type="dxa"/>
        <w:tblLayout w:type="fixed"/>
        <w:tblCellMar>
          <w:top w:w="28" w:type="dxa"/>
          <w:left w:w="28" w:type="dxa"/>
          <w:bottom w:w="28" w:type="dxa"/>
          <w:right w:w="28" w:type="dxa"/>
        </w:tblCellMar>
      </w:tblPr>
      <w:tblGrid>
        <w:gridCol w:w="4026"/>
        <w:gridCol w:w="146"/>
        <w:gridCol w:w="344"/>
        <w:gridCol w:w="931"/>
        <w:gridCol w:w="146"/>
        <w:gridCol w:w="146"/>
        <w:gridCol w:w="360"/>
        <w:gridCol w:w="1155"/>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Novo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13, 2025, the Company and Novo entered into a global Collaboration and License Agreement (the “Novo Collaboration Agreement”). Under the Novo Collaboration Agreement, the Company is exclusively collaborating with Novo to leverage the Company’s proprietary Native Complex Platform® to discover, develop and commercialize multiple potential oral small molecule therapies for metabolic-related diseases based on certain specified molecular targets. The collaboration objective is to discover and develop several novel mono-, dual-, or triple-acting oral small molecule drug candidates directed across five GPCRs, including the GLP-1, GIP, and glucagon receptors (the “Collaboration Targets”). The collaboration included the Company's most advanced preclinical metabolic program focused on developing an oral small molecule agonist to the GIP receptor.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the Novo Collaboration Agreement became effective on July 1, 2025, the Company and Novo commenced four simultaneous research and development programs (each an “R&amp;D Program”) with each pursuing one or more Collaboration Targets from discovery through development candidate selection. Beginning with investigational new drug-enabling activities, Novo will then be responsible for all further global development and commercialization for each product candidate at its sole cost and expense. Subject to certain limitations, Novo has the right to modify the research plans and explore additional combinations of the existing Collaboration Targets for one or more of such R&amp;D Programs provided that no more than four R&amp;D Programs will be pursued simultaneously. Novo reimburses the Company for 100% of the fully burdened costs arising from all research and development activities undertaken by the Company under the Novo Collaboration Agreement. Novo is also responsible for all commercialization costs subject to the Company's profit and loss share option described below for up to one program under the collaboration.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Novo Collaboration Agreement, the Company will provide Novo with exclusive licenses to enable Novo to develop and commercialize products directed at the Collaboration Targets. The Company retains all other rights to its Native Complex Platform® and all of its other research and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Novo paid the Company a one-time, non-refundable upfront payment of $195.0 million. For each R&amp;D Program, the Company is also eligible to receive up to approximately $498.0 million in research, development, regulatory, and commercial milestone payments. In addition, the Company is entitled to escalating, tiered royalties ranging from mid-to-high single-digits based on global product sales on a country-by-country and product-by-product basis with respect to a R&amp;D Program until the later of ten years after the date of first commercial sale of the first product in such R&amp;D Program in such country, expiration of specified patent rights covering such product in such country or the expiration of specified regulatory exclusivity for the first product in such R&amp;D Program in such country. The royalty payments are subject to certain step-down provisions including reductions due to valid patent claim expiration, generic product market share on a country-by-country basis, payments made under certain licenses for third party intellectual property and application of Inflation Reduction Act maximum fair price provisions (with such cumulative reductions in most cases subject to a royalty reduction floor). Subject to certain terms, conditions and limitations, the Company holds an option to elect a profit and loss sharing arrangement (in lieu of milestones and royalties) for one product candidate under the Novo Collaboration Agreement, which must be exercised by the Company within a specified time period following completion of either IND-enabling studies or the first Phase 1 clinical trial for such product (the "Profit Share Option").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periodically assesses the probability of receiving payments from achieving the research and development, collaboration target, and regulatory milestones, and includes the milestone amounts in the transaction price when they are considered probable. As of March 31, 2026, the Company determined that two discovery research milestones became probable of achievement. As a result, $2.0 million of milestone consideration was included in the transaction price and allocated to the performance obligations to which they relate. Revenue associated with these milestones is recognized over time using an input method, as discussed further below. Although the Company's contractual right to payment associated with these two collaboration milestones has not yet arisen under the Novo Agreement, recognition of milestones consideration within the allocated transaction price, and recognition of revenue during the three months ended March 31, 2026 March 31, 2026 is appropriate in accordance with ASC 606.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 royalty revenue has been recognized and the Profit Share Option was deemed improbable with no amount recognized for repayment of certain reimbursements to Novo as of March 31,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Royalties and commercial sale milestones are recognized when the subsequent sales occur based on the sales or usage-based royalty exception. The Company also periodically reassesses the probability of exercising the Profit Share Option.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recognizes revenue related to the combined license and research services performance obligations and the manufacturing performance obligation over time using the input method. Under the input method, the extent of progress towards completion is measured based on the ratio of actual cost incurred to date to the total estimated cost at completion of the performance obligations, which the Company believes best measures its progress towards satisfying the performance obligations.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revenue recognized, transaction price including the portion associated with the milestones that are probable, and estimated revenue expected to be recognized in the future as of March 31, 2026 (in thousands):</w:t>
      </w:r>
    </w:p>
    <w:tbl>
      <w:tblPr>
        <w:tblW w:w="6358" w:type="dxa"/>
        <w:jc w:val="left"/>
        <w:tblInd w:w="0" w:type="dxa"/>
        <w:tblLayout w:type="fixed"/>
        <w:tblCellMar>
          <w:top w:w="28" w:type="dxa"/>
          <w:left w:w="28" w:type="dxa"/>
          <w:bottom w:w="28" w:type="dxa"/>
          <w:right w:w="28" w:type="dxa"/>
        </w:tblCellMar>
      </w:tblPr>
      <w:tblGrid>
        <w:gridCol w:w="4606"/>
        <w:gridCol w:w="146"/>
        <w:gridCol w:w="296"/>
        <w:gridCol w:w="1099"/>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license, research and manufacturing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Discovery research milestones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transaction price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Revenue recognized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transaction price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March 31, 2026, the Company determined that two discovery research milestones became probable of achievement. Accordingly, the Company recognized these milestones within the transaction price. The milestones recognized within the transaction price are allocated to the applicable R&amp;D Program performance obligations to which they relate and are recognized as revenue using the input method.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Comprised of the allocation of the $195.0 million one-time, non-refundable upfront payment, of which $153.8 million was allocated to the four R&amp;D programs and manufacturing services and $41.2 million was allocated to the material right. In addition, $94.0 million of variable consideration related to estimated research and manufacturing services for the four R&amp;D Programs, and $2.0 million of variable consideration related to the two milestones deemed probable of achievement was allocated to the transaction price as of March 31,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March 31, 2026, the Company recognized revenue of $26.5 million, which was comprised of $10.3 million variable consideration related to research services for the four R&amp;D Programs and manufacturing services, $15.7 million recognition of deferred revenue for the one-time, non-refundable upfront payment, and $0.5 million milestone revenue recognized on the two milestones discussed above. The Company recognized $26.8 million of the one-time, non-refundable upfront payment and $18.6 million variable considerations related to research services for the four R&amp;D Programs and manufacturing services during the year ended December 31, 2025.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Amounts due to the Company for satisfying the revenue recognition criteria or that are contractually due based upon the terms of the Novo Collaboration Agreement are recorded as accounts receivable in the Company’s condensed balance sheets. Contract liabilities consist of amounts received prior to satisfying the revenue recognition criteria, which are recorded as deferred revenue in the Company’s condensed balance sheets.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changes in deferred revenue (in thousands):</w:t>
      </w:r>
    </w:p>
    <w:tbl>
      <w:tblPr>
        <w:tblW w:w="7300" w:type="dxa"/>
        <w:jc w:val="left"/>
        <w:tblInd w:w="0" w:type="dxa"/>
        <w:tblLayout w:type="fixed"/>
        <w:tblCellMar>
          <w:top w:w="28" w:type="dxa"/>
          <w:left w:w="28" w:type="dxa"/>
          <w:bottom w:w="28" w:type="dxa"/>
          <w:right w:w="28" w:type="dxa"/>
        </w:tblCellMar>
      </w:tblPr>
      <w:tblGrid>
        <w:gridCol w:w="5851"/>
        <w:gridCol w:w="146"/>
        <w:gridCol w:w="211"/>
        <w:gridCol w:w="781"/>
        <w:gridCol w:w="3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in revenue during the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Netting against contract asset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Balance at March 31, 2026</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151,947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During the three months ended March 31, 2026, the Company recognized $0.5 million of milestone revenue as described above and recorded a related contract asset as the contractual right to payment associated with the discovery research milestones under the Novo Collaboration Agreement had not arisen. In accordance with ASC 606, contract assets and liabilities associated within an agreement are considered interdependent and are recorded net in the condensed balance sheets. Accordingly, the contract asset was netted against the deferred revenue balance as of March 31, 2026.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Comprised of $59.8 million of deferred revenue, current and $92.2 million of deferred revenue, non-current, which is expected to be recognized over approximately 3.3 years. As of March 31, 2026, all of the Company's performance obligations associated with its deferred revenue balances are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and December 31, 2025, the Company’s accounts receivable was entirely attributed to Novo, and no allowance for credit loss was recorded related to accounts receivable.</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Marketable Securities and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records marketable securities and cash equivalents at their estimated fair values, which are based on market prices from a variety of industry standard data providers and generally represent quoted prices for similar assets in active markets or have been derived from observable market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is determined based on a three-tier hierarchy under the authoritative guidance for fair value measurements and disclosures that prioritizes the inputs used in measuring fair value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Unadjusted quoted prices in active markets that are accessible at the measurement date for identical, unrestricted assets or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Quoted prices in markets that are not active or inputs which are observable, either directly or indirectly, for substantially the full term of the asset or liability;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Prices or valuation techniques that require inputs that are both significant to the fair value measurements and unobservable (i.e., supported by little or no market activity).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Money market funds are highly liquid investments and are classified as Level 1. The pricing information for these assets is readily available and can be independently validated as of the measurement date. Marketable securities, including U.S. Treasury securities, U.S. government agency securities, commercial paper, and corporate debt securities, are classified as Level 2. These securities are valued using fair value from third-party pricing services, which may use observable inputs based on real-time trade data for similar assets, broker/dealer quotes, bids and/or offers and other observable inputs.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carrying amounts of the Company’s prepaid and other current assets, accounts payable, and accrued and other current liabilities approximate fair value due to their short maturities.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measurements of the Company’s cash equivalents and marketable securities are identified at the following levels within the fair value hierarchy (in thousands):</w:t>
      </w:r>
    </w:p>
    <w:p>
      <w:pPr>
        <w:pStyle w:val="TextBody"/>
        <w:bidi w:val="0"/>
        <w:jc w:val="both"/>
        <w:rPr/>
      </w:pPr>
      <w:r>
        <w:rPr/>
        <w:t> </w:t>
      </w:r>
    </w:p>
    <w:tbl>
      <w:tblPr>
        <w:tblW w:w="9879" w:type="dxa"/>
        <w:jc w:val="left"/>
        <w:tblInd w:w="0" w:type="dxa"/>
        <w:tblLayout w:type="fixed"/>
        <w:tblCellMar>
          <w:top w:w="28" w:type="dxa"/>
          <w:left w:w="28" w:type="dxa"/>
          <w:bottom w:w="28" w:type="dxa"/>
          <w:right w:w="28" w:type="dxa"/>
        </w:tblCellMar>
      </w:tblPr>
      <w:tblGrid>
        <w:gridCol w:w="3211"/>
        <w:gridCol w:w="211"/>
        <w:gridCol w:w="781"/>
        <w:gridCol w:w="446"/>
        <w:gridCol w:w="446"/>
        <w:gridCol w:w="211"/>
        <w:gridCol w:w="676"/>
        <w:gridCol w:w="446"/>
        <w:gridCol w:w="446"/>
        <w:gridCol w:w="211"/>
        <w:gridCol w:w="781"/>
        <w:gridCol w:w="446"/>
        <w:gridCol w:w="446"/>
        <w:gridCol w:w="239"/>
        <w:gridCol w:w="391"/>
        <w:gridCol w:w="491"/>
      </w:tblGrid>
      <w:tr>
        <w:trPr/>
        <w:tc>
          <w:tcPr>
            <w:tcW w:w="3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measured at fair value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517,142</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48,411</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468,731</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jc w:val="both"/>
        <w:rPr/>
      </w:pPr>
      <w:r>
        <w:rPr/>
        <w:t> </w:t>
      </w:r>
    </w:p>
    <w:tbl>
      <w:tblPr>
        <w:tblW w:w="9879" w:type="dxa"/>
        <w:jc w:val="left"/>
        <w:tblInd w:w="0" w:type="dxa"/>
        <w:tblLayout w:type="fixed"/>
        <w:tblCellMar>
          <w:top w:w="28" w:type="dxa"/>
          <w:left w:w="28" w:type="dxa"/>
          <w:bottom w:w="28" w:type="dxa"/>
          <w:right w:w="28" w:type="dxa"/>
        </w:tblCellMar>
      </w:tblPr>
      <w:tblGrid>
        <w:gridCol w:w="3111"/>
        <w:gridCol w:w="211"/>
        <w:gridCol w:w="781"/>
        <w:gridCol w:w="446"/>
        <w:gridCol w:w="446"/>
        <w:gridCol w:w="211"/>
        <w:gridCol w:w="676"/>
        <w:gridCol w:w="446"/>
        <w:gridCol w:w="446"/>
        <w:gridCol w:w="211"/>
        <w:gridCol w:w="781"/>
        <w:gridCol w:w="446"/>
        <w:gridCol w:w="446"/>
        <w:gridCol w:w="239"/>
        <w:gridCol w:w="391"/>
        <w:gridCol w:w="591"/>
      </w:tblGrid>
      <w:tr>
        <w:trPr/>
        <w:tc>
          <w:tcPr>
            <w:tcW w:w="3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63,736</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63,736</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measured at fair value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544,025</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480,289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and December 31, 2025, the Company’s marketable securities consist of debt securities, including U.S. Treasury and agency securities, corporate debt securities and commercial paper. These marketable securities are carried at fair value and are included in the tables above. The Company records an allowance for credit losses when unrealized losses are due to credit-related factors. At each reporting date, the Company evaluates securities with unrealized losses to determine whether such losses, if any, are due to credit-related factors. The Company evaluates, among others, whether the Company has the intention to sell any of these marketable securities and whether it is not more likely than not that the Company will be required to sell any of them before recovery of the amortized cost basis. Neither of these criteria were met at March 31, 2026 or December 31, 2025. The credit ratings of the securities held remain of the highest quality. Moreover, the Company continues to receive payments of interest and principal as they become due, and the Company's expectation is that those payments will continue to be received timely. Based on this evaluation, as of March 31, 2026 and December 31, 2025, the Company determined that unrealized losses of its marketable securities were primarily attributable to changes in interest rates and non-credit related factors. As such, no allowances for credit losses were recorded at March 31, 2026 or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receivable as of March 31, 2026 and December 31, 2025 was $3.4 million and is recorded as a component of prepaid expenses and other current assets on the Company’s condensed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2026 and December 31, 2025, all marketable securities in an unrealized loss position had been in an unrealized loss position for less than 12 months. As of March 31, 2026, the Company held 167 marketable securities in an unrealized loss position. As of December 31, 2025, the Company held 44 marketable securities in an unrealized loss position.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March 31, 2026, the following table summarizes the amortized cost and the unrealized gains (losses) of the marketable securities presented within marketable securities and cash equivalents (in thousands):</w:t>
      </w:r>
    </w:p>
    <w:tbl>
      <w:tblPr>
        <w:tblW w:w="10205" w:type="dxa"/>
        <w:jc w:val="left"/>
        <w:tblInd w:w="0" w:type="dxa"/>
        <w:tblLayout w:type="fixed"/>
        <w:tblCellMar>
          <w:top w:w="28" w:type="dxa"/>
          <w:left w:w="28" w:type="dxa"/>
          <w:bottom w:w="28" w:type="dxa"/>
          <w:right w:w="28" w:type="dxa"/>
        </w:tblCellMar>
      </w:tblPr>
      <w:tblGrid>
        <w:gridCol w:w="2369"/>
        <w:gridCol w:w="246"/>
        <w:gridCol w:w="1393"/>
        <w:gridCol w:w="146"/>
        <w:gridCol w:w="253"/>
        <w:gridCol w:w="937"/>
        <w:gridCol w:w="146"/>
        <w:gridCol w:w="146"/>
        <w:gridCol w:w="416"/>
        <w:gridCol w:w="835"/>
        <w:gridCol w:w="146"/>
        <w:gridCol w:w="146"/>
        <w:gridCol w:w="388"/>
        <w:gridCol w:w="887"/>
        <w:gridCol w:w="166"/>
        <w:gridCol w:w="146"/>
        <w:gridCol w:w="243"/>
        <w:gridCol w:w="900"/>
        <w:gridCol w:w="296"/>
      </w:tblGrid>
      <w:tr>
        <w:trPr/>
        <w:tc>
          <w:tcPr>
            <w:tcW w:w="23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w:t>
              <w:br/>
              <w: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maturity less than 1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294,040</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w:t>
              <w:br/>
              <w: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468,731</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December 31, 2025, the following table summarizes the amortized cost and the unrealized gains (losses) of the marketable securities presented within marketable securities and cash equivalents (in thousands):</w:t>
      </w:r>
    </w:p>
    <w:tbl>
      <w:tblPr>
        <w:tblW w:w="9810" w:type="dxa"/>
        <w:jc w:val="left"/>
        <w:tblInd w:w="0" w:type="dxa"/>
        <w:tblLayout w:type="fixed"/>
        <w:tblCellMar>
          <w:top w:w="28" w:type="dxa"/>
          <w:left w:w="28" w:type="dxa"/>
          <w:bottom w:w="28" w:type="dxa"/>
          <w:right w:w="28" w:type="dxa"/>
        </w:tblCellMar>
      </w:tblPr>
      <w:tblGrid>
        <w:gridCol w:w="2681"/>
        <w:gridCol w:w="246"/>
        <w:gridCol w:w="1501"/>
        <w:gridCol w:w="146"/>
        <w:gridCol w:w="211"/>
        <w:gridCol w:w="781"/>
        <w:gridCol w:w="146"/>
        <w:gridCol w:w="146"/>
        <w:gridCol w:w="295"/>
        <w:gridCol w:w="591"/>
        <w:gridCol w:w="146"/>
        <w:gridCol w:w="146"/>
        <w:gridCol w:w="318"/>
        <w:gridCol w:w="568"/>
        <w:gridCol w:w="166"/>
        <w:gridCol w:w="146"/>
        <w:gridCol w:w="252"/>
        <w:gridCol w:w="933"/>
        <w:gridCol w:w="391"/>
      </w:tblGrid>
      <w:tr>
        <w:trPr/>
        <w:tc>
          <w:tcPr>
            <w:tcW w:w="26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br/>
              <w:t>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Estimated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w:t>
              <w:br/>
              <w: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maturity less than 1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w:t>
              <w:br/>
              <w: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March 31, 2026, the following table summarizes marketable securities in an unrealized loss position (in thousands):</w:t>
      </w:r>
    </w:p>
    <w:tbl>
      <w:tblPr>
        <w:tblW w:w="9853" w:type="dxa"/>
        <w:jc w:val="left"/>
        <w:tblInd w:w="0" w:type="dxa"/>
        <w:tblLayout w:type="fixed"/>
        <w:tblCellMar>
          <w:top w:w="28" w:type="dxa"/>
          <w:left w:w="28" w:type="dxa"/>
          <w:bottom w:w="28" w:type="dxa"/>
          <w:right w:w="28" w:type="dxa"/>
        </w:tblCellMar>
      </w:tblPr>
      <w:tblGrid>
        <w:gridCol w:w="2911"/>
        <w:gridCol w:w="3256"/>
        <w:gridCol w:w="146"/>
        <w:gridCol w:w="211"/>
        <w:gridCol w:w="781"/>
        <w:gridCol w:w="446"/>
        <w:gridCol w:w="446"/>
        <w:gridCol w:w="379"/>
        <w:gridCol w:w="86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Contractual 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57,636</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49,876</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maturity less than 1 year</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177,665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115,720</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338,234</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Commitments and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or other legal claims. The Company is not currently a party to any legal proceeding that, if determined adversely to the Company, in management’s opinion, is expected to individually or in the aggregate have a material adverse effect on its business, financial condition or liquidity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Company is also party to indemnification agreements with its officers and directors.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potential amount of future payments that the Company could be required to make under these provisions is not determinable; however, the Company currently holds director and officer liability insurance. This insurance limits the Company’s exposure and may enable it to recover a portion of any future amounts paid. The Company believes that the fair value of these indemnification obligations is minimal. In addition, the Company is not currently aware of any indemnification claims that could have a material effect on its condensed financial statements. Accordingly, the Company did not record any liabilities associated with these indemnification rights and agreements as of March 31,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and December 31, 2025, the Company was authorized to issue 500.0 million shares of common stock, par value $0.001 per share.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The Company reserved the following shares of common stock, on an as-converted basis, for future issuance: </w:t>
      </w:r>
    </w:p>
    <w:tbl>
      <w:tblPr>
        <w:tblW w:w="8220" w:type="dxa"/>
        <w:jc w:val="left"/>
        <w:tblInd w:w="0" w:type="dxa"/>
        <w:tblLayout w:type="fixed"/>
        <w:tblCellMar>
          <w:top w:w="28" w:type="dxa"/>
          <w:left w:w="28" w:type="dxa"/>
          <w:bottom w:w="28" w:type="dxa"/>
          <w:right w:w="28" w:type="dxa"/>
        </w:tblCellMar>
      </w:tblPr>
      <w:tblGrid>
        <w:gridCol w:w="4801"/>
        <w:gridCol w:w="146"/>
        <w:gridCol w:w="157"/>
        <w:gridCol w:w="1118"/>
        <w:gridCol w:w="146"/>
        <w:gridCol w:w="146"/>
        <w:gridCol w:w="205"/>
        <w:gridCol w:w="1310"/>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grants under 2024 Stock Option</w:t>
              <w:br/>
              <w:t>   and Incentive Plan and 2026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4,257,640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2024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8,887,335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Program</w:t>
      </w:r>
    </w:p>
    <w:p>
      <w:pPr>
        <w:pStyle w:val="TextBody"/>
        <w:bidi w:val="0"/>
        <w:spacing w:before="120" w:after="283"/>
        <w:jc w:val="both"/>
        <w:rPr>
          <w:rFonts w:ascii="Times New Roman" w:hAnsi="Times New Roman"/>
          <w:sz w:val="20"/>
        </w:rPr>
      </w:pPr>
      <w:r>
        <w:rPr>
          <w:rFonts w:ascii="Times New Roman" w:hAnsi="Times New Roman"/>
          <w:color w:val="000000"/>
          <w:sz w:val="20"/>
        </w:rPr>
        <w:t>In March 2026, the Company entered into an ATM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BofA Securities, Inc., acting as the Company’s sales agent and/or principal (the “Sales Agent”), with respect to an “at-the-market offering” program pursuant to which the Company may, from time to time, at its sole discretion, issue and sell shares of its common stock having an aggregate offering price of up to $150.0 million through the Sales Agent (the “ATM Program”). Pursuant to the Sales Agreement, any shares will be sold pursuant to the automatic shelf registration statement on Form S-3ASR (File No. 333-294185) filed with the SEC on March 10, 2026, which became automatically effective upon filing, including the base prospectus and the sales agreement prospectus contained therein. As of March 31, 2026, the Company had not sold any shares of its common stock under the ATM Program.</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7.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the Company’s board of directors adopted, and its stockholders approved, the 2024 Stock Option and Incentive Plan (the “2024 Plan”), which became effective immediately prior to the effective date of the Company's initial public offering (“IPO”) and superseded the Company’s 2021 Stock Option and Grant Plan, as amended (the “2021 Plan”) (together, the “Stock Plans”).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1, 2026, the number of shares of common stock available under the 2024 Plan increased by 2.2 million shares pursuant to an evergreen provision of the 2024 Plan. As of March 31, 2026, there were 4.6 million shares available for issuance under the 2024 Plan.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Inducement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2026, the Company’s board of directors adopted the 2026 Inducement Plan (the “Inducement Plan”). The Inducement Plan initially reserved 0.5 million shares of common stock to be issued exclusively for grants of equity-based awards to individuals who were not previously employees or directors of the Company, as an inducement material to such individual’s entry into employment with the Company within the meaning of Rule 5635(c)(4) of the Marketplace Rules of the Nasdaq Stock Market. The Inducement Plan was adopted by the Board without stockholder approval pursuant to Rule 5635(c)(4).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there were 0.3 million shares available for issuance under the Inducement Plan.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the Company’s board of directors adopted the 2024 Employee Stock Purchase Plan (the “2024 ESPP”), which became effective immediately prior to the effective date of the Company's IPO.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1, 2026, the number of shares of common stock available under the 2024 ESPP increased by 0.4 million shares pursuant to an evergreen provision of the 2024 ESPP. As of March 31, 2026, there were 0.6 million shares available for issuance under the 2024 ESPP. There were no issuances of common stock under the 2024 ESPP during the three months ended March 31, 2026. As of March 31, 2026, total unrecognized stock-based compensation expense related to ESPP was $1.4 million, which is expected to be recognized over a weighted average period of 1.0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restricted stock award activity: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80"/>
        <w:gridCol w:w="146"/>
        <w:gridCol w:w="329"/>
        <w:gridCol w:w="1769"/>
        <w:gridCol w:w="166"/>
        <w:gridCol w:w="146"/>
        <w:gridCol w:w="1082"/>
        <w:gridCol w:w="2394"/>
        <w:gridCol w:w="393"/>
      </w:tblGrid>
      <w:tr>
        <w:trPr/>
        <w:tc>
          <w:tcPr>
            <w:tcW w:w="3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awards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grant date fair value of shares vested during the three months ended March 31, 2026 was $0.1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stock option activity under the Stock Plans and the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60"/>
        <w:gridCol w:w="146"/>
        <w:gridCol w:w="214"/>
        <w:gridCol w:w="1367"/>
        <w:gridCol w:w="166"/>
        <w:gridCol w:w="146"/>
        <w:gridCol w:w="497"/>
        <w:gridCol w:w="1350"/>
        <w:gridCol w:w="146"/>
        <w:gridCol w:w="146"/>
        <w:gridCol w:w="525"/>
        <w:gridCol w:w="1682"/>
        <w:gridCol w:w="146"/>
        <w:gridCol w:w="146"/>
        <w:gridCol w:w="302"/>
        <w:gridCol w:w="970"/>
        <w:gridCol w:w="396"/>
      </w:tblGrid>
      <w:tr>
        <w:trPr/>
        <w:tc>
          <w:tcPr>
            <w:tcW w:w="1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fair value of stock options that vested during the three months ended March 31, 2026 was $4.8 million. The stock options granted in the three months ended March 31, 2026 had a weighted-average grant-date fair value per share of $20.10 and a total grant-date fair value of $41.7 million. The total intrinsic value of stock options exercised during the three months ended March 31, 2026 was $2.8 million.</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assumptions used to value employee and non-employee stock option awards granted under the Stock Plans and the Inducement Plan using the Black Scholes option pricing model, were as follows:</w:t>
      </w:r>
    </w:p>
    <w:p>
      <w:pPr>
        <w:pStyle w:val="TextBody"/>
        <w:bidi w:val="0"/>
        <w:jc w:val="both"/>
        <w:rPr/>
      </w:pPr>
      <w:r>
        <w:rPr/>
        <w:t> </w:t>
      </w:r>
    </w:p>
    <w:tbl>
      <w:tblPr>
        <w:tblW w:w="5231" w:type="dxa"/>
        <w:jc w:val="left"/>
        <w:tblInd w:w="0" w:type="dxa"/>
        <w:tblLayout w:type="fixed"/>
        <w:tblCellMar>
          <w:top w:w="28" w:type="dxa"/>
          <w:left w:w="28" w:type="dxa"/>
          <w:bottom w:w="28" w:type="dxa"/>
          <w:right w:w="28" w:type="dxa"/>
        </w:tblCellMar>
      </w:tblPr>
      <w:tblGrid>
        <w:gridCol w:w="2371"/>
        <w:gridCol w:w="146"/>
        <w:gridCol w:w="270"/>
        <w:gridCol w:w="730"/>
        <w:gridCol w:w="346"/>
        <w:gridCol w:w="186"/>
        <w:gridCol w:w="270"/>
        <w:gridCol w:w="596"/>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for restricted stock awards and stock options recognized in the Company’s condensed statements of operations and comprehensive loss is presented as follows (in thousands): </w:t>
      </w:r>
    </w:p>
    <w:p>
      <w:pPr>
        <w:pStyle w:val="TextBody"/>
        <w:bidi w:val="0"/>
        <w:jc w:val="both"/>
        <w:rPr/>
      </w:pPr>
      <w:r>
        <w:rPr/>
        <w:t> </w:t>
      </w:r>
    </w:p>
    <w:tbl>
      <w:tblPr>
        <w:tblW w:w="6184" w:type="dxa"/>
        <w:jc w:val="left"/>
        <w:tblInd w:w="0" w:type="dxa"/>
        <w:tblLayout w:type="fixed"/>
        <w:tblCellMar>
          <w:top w:w="28" w:type="dxa"/>
          <w:left w:w="28" w:type="dxa"/>
          <w:bottom w:w="28" w:type="dxa"/>
          <w:right w:w="28" w:type="dxa"/>
        </w:tblCellMar>
      </w:tblPr>
      <w:tblGrid>
        <w:gridCol w:w="3451"/>
        <w:gridCol w:w="146"/>
        <w:gridCol w:w="272"/>
        <w:gridCol w:w="738"/>
        <w:gridCol w:w="188"/>
        <w:gridCol w:w="188"/>
        <w:gridCol w:w="272"/>
        <w:gridCol w:w="738"/>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total unrecognized stock-based compensation expense related to unvested restricted stock awards and unvested stock options was $60.5 million, which is expected to be recognized over a weighted-average period of 3.0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Related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Rock Ventures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2021, the Company entered into a service agreement (the “TRV service agreement”) with Third Rock Ventures, LLC (“TRV”), a holder of more than 5% of the Company’s outstanding capital stock, under which TRV provides consulting services to the Company. For the three months ended March 31, 2026 and 2025, the Company incurred no fees under the TRV service agreement. There were no expenses related to TRV in accrued expenses and other current liabilities on the Company’s condensed balance sheets at March 31, 2026, or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member of the Company’s board of directors is affiliated with TRV (the “TRV Board Member”). In December 2024, the Company entered into a separate consulting agreement with the TRV Board Member, which includes cash compensation to be paid directly to the TRV Board member.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March 31, 2026 and 2025, the fees attributed to consulting services provided by the TRV Board Member were nominal.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no fees related to the TRV Board Member’s consulting services were recorded in accrued expenses and other current liabilities. As of December 31, 2025, there was a nominal expense recorded in accrued expenses and other current liabilities and a nominal outstanding accounts payable to the TRV Board Member.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had 6,483,046 shares of potentially dilutive securities, comprised of 6,295,470 outstanding stock options, 75,247 unvested restricted stock awards subject to repurchase, and 112,329 shares issuable under the 2024 ESPP, not included in the calculation of diluted net loss per share for the three months ended March 31, 2026 because to do so would be anti-dilutive.</w:t>
      </w:r>
    </w:p>
    <w:p>
      <w:pPr>
        <w:pStyle w:val="TextBody"/>
        <w:bidi w:val="0"/>
        <w:jc w:val="left"/>
        <w:rPr>
          <w:rFonts w:ascii="Times New Roman" w:hAnsi="Times New Roman"/>
          <w:b/>
          <w:color w:val="000000"/>
          <w:sz w:val="20"/>
        </w:rPr>
      </w:pPr>
      <w:r>
        <w:rPr>
          <w:rFonts w:ascii="Times New Roman" w:hAnsi="Times New Roman"/>
          <w:b/>
          <w:color w:val="000000"/>
          <w:sz w:val="20"/>
        </w:rPr>
        <w:t>Note 10. 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operates in one segment, which is GPCR oral small molecule drug discovery. The Company’s Chief Operating Decision Maker (“CODM”) is its Chief Executive Officer. The measure of segment profit or loss is net loss, which is also reported on the condensed statements of operations and comprehensive loss as net loss.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Notes to UNAUDITED Condensed Financial Statements (CONTINUED)</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measure of segment assets is reported on the condensed balance sheet as total assets. The CODM uses segment net loss to monitor spending, assess performance for the Company and management, evaluate the progress of completing corporate goals, decide how to allocate resources among the Company’s clinical and pre-clinical portfolios, and make strategic decisions about business development opportunities.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CODM is regularly provided with the following significant segment expenses:</w:t>
      </w:r>
    </w:p>
    <w:tbl>
      <w:tblPr>
        <w:tblW w:w="8201" w:type="dxa"/>
        <w:jc w:val="left"/>
        <w:tblInd w:w="0" w:type="dxa"/>
        <w:tblLayout w:type="fixed"/>
        <w:tblCellMar>
          <w:top w:w="28" w:type="dxa"/>
          <w:left w:w="28" w:type="dxa"/>
          <w:bottom w:w="28" w:type="dxa"/>
          <w:right w:w="28" w:type="dxa"/>
        </w:tblCellMar>
      </w:tblPr>
      <w:tblGrid>
        <w:gridCol w:w="5446"/>
        <w:gridCol w:w="146"/>
        <w:gridCol w:w="229"/>
        <w:gridCol w:w="801"/>
        <w:gridCol w:w="180"/>
        <w:gridCol w:w="158"/>
        <w:gridCol w:w="229"/>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Other segment expenses include facility related and office costs, information technology costs, general laboratory costs, depreciation and amortization of property and equipment, net, and other operating expenses.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and December 31, 2025, all of the Company’s property and equipment was maintained in the U.S. For the three months ended March 31, 2026 and 2025, the Company’s revenue was generated from providing research services and was earned in the U.S.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interim condensed financial statements and related notes included elsewhere in this Quarterly Report and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(“Annual Report”), filed with the SEC on March 9, 2026. This discussion and other parts of this Quarterly Report contain forward-looking statements based upon current beliefs, plans, and expectations related to future events and our future financial performance that involve risks, uncertainties and assumptions,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titled “Risk Factors” and elsewhere in this Quarterly Report and in our other filings with the SEC. Our historical results are not necessarily indicative of the results that may be expected for any period in the future, and you should carefully read the section titled “Risk Factors” in this Quarterly Report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pioneering a new era of GPCR oral small molecule drug discovery powered by our proprietary Native Complex Platform®. Our industrial-scale platform aims to unlock the full potential of GPCR therapies and has led to the discovery and development of our deep pipeline of drug candidates focused initially on treating patients in three therapeutic areas: endocrinology, immunology and inflammation, and metabolic diseases.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proprietary Native Complex Platform® replicates the natural structure, function, and dynamics of GPCRs outside of cells at an industrial scale for, as we believe it, the first time. Our foundational technologies enable us to isolate, purify, and reconstitute full-length, properly folded GPCR proteins within ternary complexes with ligands and transducer proteins in a lipid bilayer that mimics the cell membrane. We then apply state-of-the-art discovery tools and technologies to these defined and tunable protein complexes to structurally design, screen for, and optimize potential product candidates. Leveraging our platform, we conduct GPCR oral small molecule drug discovery using an industrialized and iterative structure-based drug design approach for a diverse collection of GPCR targets. Our Native Complex Platform® is designed to enable us to target specific GPCRs, uncover novel binding pockets for validated receptors, and pursue a wide spectrum of pharmacologies, including agonists (which activate GPCR signaling), antagonists (which inhibit GPCR signaling), and allosteric modulators (which either increase or decrease the degree of GPCR activation by endogenous ligands), to affect GPCR signaling in different ways to achieve desired therapeutic effects.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advancing a deep portfolio of oral small molecule GPCR-targeted programs with novel mechanistic approaches to treat diseases across multiple therapeutic areas for patients with significant unmet needs. Our pipeline of wholly-owned and partnered programs is summarized in the figure below.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5619750" cy="2705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19750" cy="270510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SEP-479 PTH1R Agonist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13, 2026, we announced the dosing of the first participants in our Phase 1 clinical trial of SEP-479, our oral small molecule PTH1R agonist being developed for the treatment of patients with hypoparathyroidism. The Phase 1 clinical trial is a single-ascending dose (“SAD”) and multiple-ascending dose (“MAD”) clinical trial to evaluate the safety, tolerability, pharmacokinetics (“PK”) and pharmacodynamics (“PD”) of SEP-479 in healthy adult volunteers. The randomized, placebo-controlled Phase 1 clinical trial is expected to enroll up to 150 healthy adult participants. The SAD portion of the clinical trial will evaluate the safety and tolerability of SEP-479 at escalating oral doses. The MAD portion of the clinical trial is designed to evaluate the safety and tolerability of once-daily oral dosing of SEP-479 over multiple days of treatment, with secondary and exploratory endpoints including PK and PD, with the latter assessed by changes in endogenous PTH and serum calcium, as well as other biomarkers. We anticipate reporting data from the trial in late 2026 or early 2027.</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jc w:val="both"/>
        <w:rPr>
          <w:rFonts w:ascii="Times New Roman" w:hAnsi="Times New Roman"/>
          <w:color w:val="000000"/>
          <w:sz w:val="20"/>
        </w:rPr>
      </w:pPr>
      <w:r>
        <w:rPr>
          <w:rFonts w:ascii="Times New Roman" w:hAnsi="Times New Roman"/>
          <w:color w:val="000000"/>
          <w:sz w:val="20"/>
        </w:rPr>
        <w:t>We have incurred significant operating losses since our inception, except for the year ended December 31, 2023. Our revenue to date has been generated solely from research services. Since our founding, we have devoted substantially all of our resources to organizing and staffing our company, business planning, raising capital, developing our proprietary and structure-based drug discovery platform, identifying and discovering our product candidates, establishing our intellectual property portfolio, conducting research and preclinical studies, including IND-enabling studies, initiating and conducting clinical trials, establishing arrangements with third parties for the manufacture of our product candidates and related raw materials, and providing general and administrative support for these operations. We have not had any products approved for sale and have not generated any revenue from product sales. Further, we do not expect to generate revenue from commercial product sales until such time, if ever, that we are able to successfully complete the development and obtain marketing approval for one or more of our product candidates. Our ability to generate product revenue will depend on the successful development and eventual commercialization of one or more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net loss was $8.6 million and $21.5 million for the three months ended March 31, 2026 and 2025, respectively. As of March 31, 2026, we had an accumulated deficit of $175.9 million. We have incurred net losses in each year since inception, except for the year ended December 31, 2023. We expect to continue to incur net losses for the foreseeable future. Our net losses may fluctuate significantly from period to period, depending on the timing and expenditures of our operational activities.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significant and increasing net operating losses for the next several years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product candidates through preclinical studies and into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operate as a public company, including expenses related to compliance with the rules and regulations of the SEC and those of any national securities exchange on which our securities are traded, legal, auditing, insurance expenses, investor relations activities, and other administrative and professional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our research and development efforts and expand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discover, validate,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 operational, financial and information management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royalty, milestone or other payments under any future, license or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seek to identify, assess, acquire, or in-license or develop new technologies or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experience any delays, challenges, or other issues associated with the clinical development of our product candidates, including with respect to our regulatory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pursue regulatory approval of product candidates that successfully complete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 for which we may obtain marketing approval and related commercial manufacturing build-out.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net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 which includes accrued research and development, in the condensed statements of cash flows included elsewhere in this Quarterly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we will require substantial additional funding to further develop our product candidates and support our continuing operations. Until such time, if ever, as we can generate substantial product revenue, we expect to finance our operations through a combination of equity offerings, debt financings, collaborations, strategic alliances and marketing, distribution or licensing arrangements. See the section titled “Liquidity and Capital Resources - Future Funding Requirements” below for additional information. </w:t>
      </w:r>
    </w:p>
    <w:p>
      <w:pPr>
        <w:pStyle w:val="TextBody"/>
        <w:bidi w:val="0"/>
        <w:spacing w:before="120" w:after="283"/>
        <w:jc w:val="both"/>
        <w:rPr>
          <w:rFonts w:ascii="Times New Roman" w:hAnsi="Times New Roman"/>
          <w:sz w:val="20"/>
        </w:rPr>
      </w:pPr>
      <w:r>
        <w:rPr>
          <w:rFonts w:ascii="Times New Roman" w:hAnsi="Times New Roman"/>
          <w:color w:val="000000"/>
          <w:sz w:val="20"/>
        </w:rPr>
        <w:t>We have historically financed our operations primarily through the issuances of convertible promissory notes and convertible preferred stock, sales of our common stock, and collaboration arrangements with other companies. In March 2026, we entered into an ATM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BofA Securities, Inc., acting as our sales agent and/or principal (the “Sales Agent”) with respect to an “at-the-market offering” program pursuant to which we may, from time to time, at our sole discretion, issue and sell shares of our common stock having an aggregate offering price of up to $150.0 million through the Sales Agent (the “ATM Program”). As of March 31, 2026, we have not sold any shares of our common stock under the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our cash, cash equivalents, and marketable securities of $522.1 million as of March 31, 2026 will be sufficient to fund our operations and capital expenditure requirements at least into 2029.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contract research and development organizations to conduct our preclinical works and clinical trials. Additionally, we utilize third-party CMOs, to manufacture and supply our preclinical and clinical materials during the development of our product candidates. We expect to use similar contract resources for the commercialization of our products, at least until our resources and operations are at a scale that justifies investment in internal manufacturing capabilities.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research and manufacturing work outside of the United States, including China, that may be affected by tariffs, including tariffs that have been or may in the future be imposed by the United States or other countries through reciprocal tariffs. While we do not currently believe tariffs will have a material impact on our business or results of operations, we will continue to carefully monitor the situation. Additionally, we continue to actively monitor macroeconomic conditions and market volatility resulting from global and national economic developments, political unrest, inflationary pressures, interest rate fluctuations, disruptions in capital markets, changes in international trade relationships, changes in or the disruptions of U.S. governmental agencies, whether from a future U.S. federal government shutdown or reduced resources, new laws and regulations or amendments to existing laws and regulations in the U.S. and foreign countries, and military conflicts, such as the recent conflict in Iran, as well as ongoing conflicts in Ukraine, and in the Middle East. While we believe such factors have had no significant impact on our business or financial results during the periods presented, future developments and potential impacts on our business are uncertain and cannot be predicted with confidence.</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Research Services, and Asset Purchase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Novo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we entered into a global Collaboration and License Agreement with Novo (the "Novo Collaboration Agreement"). Under the Novo Collaboration Agreement, we and Novo are exclusively collaborating to leverage our proprietary Native Complex Platform® to discover, develop and commercialize multiple potential oral small molecule therapies for metabolic-related diseases based on certain specified molecular targets. The collaboration objective is to discover and develop several novel mono-, dual-, or triple-acting oral small molecule drug candidates directed across five GPCRs, including the GLP-1, GIP, and glucagon receptors (the "Collaboration Targets"). The collaboration includes our most advanced preclinical metabolic program focused on developing an oral small molecule agonist to the GIP receptor. We and Novo have initially commenced four simultaneous research and development programs (each an “R&amp;D Program”) with each pursuing one or more Collaboration Targets from discovery through development candidate selection.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Novo Collaboration Agreement became effective and, subsequently, we received a one-time, non-refundable upfront payment of $195.0 million, which was recorded as deferred revenue in our condensed balance sheet. For each R&amp;D Program, we are also eligible to receive up to approximately $498.0 million in research, development, regulatory, and commercial milestone payments. In addition, we are entitled to escalating, tiered royalties ranging from mid-to-high single-digits based on global product sales on a country-by-country and product-by-product basis with respect to a R&amp;D Program until the later of ten years after the date of first commercial sale of the first product in such R&amp;D Program in such country, expiration of specified patent rights covering such product in such country or the expiration of specified regulatory exclusivity for the first product in such R&amp;D Program in such country.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March 31, 2026, our revenue was derived solely from research activities performed for Novo under the Novo Collaboration Agreement. As of March 31, 2026, our accounts receivable was entirely attributed to Novo. See Note 3 to the condensed financial statements in this Quarterly Report for additional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Vertex Research Service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entry into asset purchase agreement with Vertex in September 2023, we also entered into a research service agreement with Vertex (“Vertex Research Service Agreement”) under which we agreed to perform certain exploratory research activities for Vertex. For the three months ended March 31, 2025, our revenue was derived solely from research activities performed for Vertex under the Vertex Research Service Agreement. The Vertex Research Service Agreement expired in September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product sales and do not expect to do so in the foreseeable future. Our ability to generate product revenue, if ever,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 Our revenues to date have been exclusively related to license and research and development (“R&amp;D”) services and achievement of milestones. Our license and research service revenue consists of amounts recognized from the portions of the non-refundable upfront payment and R&amp;D services performed by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account for the largest component of our total operating expenses. Research and development expenses consist primarily of direct and unallocated costs incurred for the research and development of our product candidates. Our research and development expenses consist of: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program costs, which include external costs to conduct clinical trials, including costs paid to CROs, the production of clinical materials and fees paid to contract manufacturers, costs incurred in connection with clinical laboratory operations, materials and supplies;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and research program costs, which include external research and development costs related to (i) the production of preclinical materials, including fees and milestones paid to contract manufacturers and (ii) agreements with contract development organizations, consultants and other third-party contract organizations to conduct our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and other research and development activities on our behalf, costs incurred in connection with laboratory operations, materials and supplies, and other preclinical studies;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unallocated costs,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payroll-related costs, including salaries, benefits and stock-based compensation for employees engaged in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research and development costs, including contract research and development and professional service fees for consulting and related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facility-related and office costs, including lease/rent, building-related expenses, facility-related overhead, and depreciation expense;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costs, including expenses related to our funded, sponsored research activities and technology licenses, laboratory operations, information technology (“IT”)-related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significant portion of our research and development costs have been external costs, which we track by stage of development. However, we do not track our unallocated costs on a program specific basis because these costs are deployed across multiple projects and, as such, are not separately classified.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development of, and obtain regulatory approval for, any of our product candidates. We expect that our research and development expenses will increase substantially in absolute dollars for the foreseeable future as we continue to invest in research and development activities related to developing our product candidates, as our product candidates advance into later stages of development, as we begin to conduct new clinical trials, as we seek regulatory approvals for any product candidates that successfully complete clinical trials, and as we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This is due to the numerous risks and uncertainties associated with developing product candidates, many of which are outside of our control,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 with IND-enabling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and patients included in the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replicate positive results from a completed clinical study in a future clinical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FDA, European Medicines Agency (“EMA”), or any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disruptions in review, approval, inspection, or other actions by the FDA or other applicable U.S. or foreign government regulatory authorities that could impact the timing, initiation, conduct, or completion of our clinical trials or marketing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collaborations and strategic relationships, to identify and establish any future collaboration arrangements on favorable terms, if at all, and to realize the intended and potential benefits of such agreements and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performance of any current or future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launching commercial sales of our product candidates, if approved, whether alone or in collaboration with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continued acceptable safety profile of the product candidates following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EMA or any other comparable foreign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costs, costs related to maintenance and filing of intellectual property, legal fees related to corporate matters, professional fees paid for accounting, auditing, consulting, tax and investor relations services, insurance costs, general corporate expenses, and IT-related and facility-related costs not otherwise included in research and development expenses. Personnel-related costs include salaries, benefits, and stock-based compensation for our personnel in executive, legal, finance and accounting, human resources, and other administrative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absolute dollars for the foreseeable future as we continue to increase our headcount to support our business growth and to advance our research and development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of interest earned on our cash, cash equivalents and marketable securities during the period.</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net consists primarily of changes in the fair value of our cash equivalents held in money market funds, loss on disposal of our fixed assets and foreign currency transaction gain or loss.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corporate U.S. federal and state income taxation. Our provision for income taxes is recorded in accordance with Accounting Standard Codification 740, Accounting for Income Taxes, which provides for deferred taxes using an asset and liability approach. We establish a valuation allowance against all of our net deferred tax assets. We consider all available evidence, both positive and negative, including but not limited to our historical operating results, income or loss in recent periods, cumulative losses in recent years, forecasted earnings (losses), future taxable income (loss), and significant risk and uncertainty related to forecasts, and concluded the deferred tax assets are not more likely than not to be realized.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results of operations for each of the periods indicated are summarized in the table below (in thousands): </w:t>
      </w:r>
    </w:p>
    <w:p>
      <w:pPr>
        <w:pStyle w:val="TextBody"/>
        <w:bidi w:val="0"/>
        <w:jc w:val="left"/>
        <w:rPr/>
      </w:pPr>
      <w:r>
        <w:rPr/>
        <w:t> </w:t>
      </w:r>
    </w:p>
    <w:tbl>
      <w:tblPr>
        <w:tblW w:w="7610" w:type="dxa"/>
        <w:jc w:val="left"/>
        <w:tblInd w:w="0" w:type="dxa"/>
        <w:tblLayout w:type="fixed"/>
        <w:tblCellMar>
          <w:top w:w="28" w:type="dxa"/>
          <w:left w:w="28" w:type="dxa"/>
          <w:bottom w:w="28" w:type="dxa"/>
          <w:right w:w="28" w:type="dxa"/>
        </w:tblCellMar>
      </w:tblPr>
      <w:tblGrid>
        <w:gridCol w:w="3256"/>
        <w:gridCol w:w="146"/>
        <w:gridCol w:w="229"/>
        <w:gridCol w:w="801"/>
        <w:gridCol w:w="180"/>
        <w:gridCol w:w="158"/>
        <w:gridCol w:w="229"/>
        <w:gridCol w:w="801"/>
        <w:gridCol w:w="166"/>
        <w:gridCol w:w="146"/>
        <w:gridCol w:w="211"/>
        <w:gridCol w:w="676"/>
        <w:gridCol w:w="6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total revenue of $26.5 million for the three months ended March 31, 2026 was generated from research activities performed for Novo, of which $15.7 million was recognized from deferred revenue associated with the upfront payment from Novo, $10.3 million of variable consideration related to estimated research services, and $0.5 million associated with the recognition of revenue for two discovery research milestones deemed probable of achievement as of March 31, 2026. All of our revenue for three months ended March 31, 2025 was generated from research activities performed for Vertex.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by direct and unallocated costs (in thousands):</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521"/>
        <w:gridCol w:w="146"/>
        <w:gridCol w:w="245"/>
        <w:gridCol w:w="785"/>
        <w:gridCol w:w="169"/>
        <w:gridCol w:w="169"/>
        <w:gridCol w:w="245"/>
        <w:gridCol w:w="785"/>
        <w:gridCol w:w="146"/>
        <w:gridCol w:w="146"/>
        <w:gridCol w:w="211"/>
        <w:gridCol w:w="676"/>
        <w:gridCol w:w="311"/>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SEP-631 (MRGPRX2)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PTH1R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Facility-related and office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were $29.5 million and $19.3 million for the three months ended March 31, 2026 and 2025, respectively. The increase was primarily due to (i) $5.0 million of higher direct costs associated with our clinical, preclinical and research programs, which includes $0.3 million of lower clinical trial expenses, (ii) $4.7 million of higher employee-related costs as a result of increased headcount to support our growing our research and development activities, which includes $1.5 million of higher stock-based compensation expenses as a result of additional new grants during the period, (iii) $0.6 million in other research and development expense and (iv) $0.3 million of higher facility-related and office costs, partially offset by $0.3 million of lower expenses attributable to unallocated external research and development costs. We expect to continue to incur increased research and development expenses as we advance SEP-631, SEP-479, and other programs in our pipeline.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$10.3 million and $6.9 million for the three months ended March 31, 2026 and 2025, respectively, primarily due to $3.4 million of higher employee-related costs as a result of increased headcount to support our growing operations. This amount includes $1.9 million of higher stock-based compensation expenses as a result of additional new grants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$5.0 million and $4.5 million for the three months ended March 31, 2026 and 2025, respectively. The increase was due to higher interest rates and higher balances of cash equivalents and marketable securities.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recorded $0.3 million for provision for income taxes for the three months ended March 31, 2026. We did not record any benefit or provision for income taxes for the three months ended March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net losses were $8.6 million and $21.5 million for the three months ended March 31, 2026 and 2025, respectively. As of March 31, 2026, we had an accumulated deficit of $175.9 million. We expect to continue to incur net losses for the foreseeable future. Our net losses may fluctuate significantly from period to period, depending on the timing and expenditures of our operational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financed our operations primarily through the issuances of convertible promissory notes and convertible preferred stock, sales of our common stock, and strategic collaborations with other companies. In March 2026, we entered into the Sales Agreement for a $150.0 million ATM Program. As of March 31, 2026, we have not sold any of our shares of common stock under the Sales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we had $522.1 million in cash, cash equivalents, and marketable securities, which, we believe, will be sufficient to fund our operations and capital expenditure requirements at least into 2029.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any material off-balance sheet arrangements other than our indemnification agreements as described in Note 5 to our unaudited condensed financial statements included elsewhere in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jc w:val="left"/>
        <w:rPr/>
      </w:pPr>
      <w:r>
        <w:rPr/>
        <w:t> </w:t>
      </w:r>
    </w:p>
    <w:tbl>
      <w:tblPr>
        <w:tblW w:w="7496" w:type="dxa"/>
        <w:jc w:val="left"/>
        <w:tblInd w:w="0" w:type="dxa"/>
        <w:tblLayout w:type="fixed"/>
        <w:tblCellMar>
          <w:top w:w="28" w:type="dxa"/>
          <w:left w:w="28" w:type="dxa"/>
          <w:bottom w:w="28" w:type="dxa"/>
          <w:right w:w="28" w:type="dxa"/>
        </w:tblCellMar>
      </w:tblPr>
      <w:tblGrid>
        <w:gridCol w:w="4741"/>
        <w:gridCol w:w="146"/>
        <w:gridCol w:w="229"/>
        <w:gridCol w:w="801"/>
        <w:gridCol w:w="180"/>
        <w:gridCol w:w="158"/>
        <w:gridCol w:w="229"/>
        <w:gridCol w:w="80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was $25.6 million and $23.3 million for the three months ended March 31, 2026 and 2025, respectively. The net cash used in operating activities for the three months ended March 31, 2026 was due to our net loss of $8.6 million and $23.2 million of net change in operating assets and liabilities, partially offset by $6.3 million of non-cash charges for depreciation and amortization, stock-based compensation, non-cash operating lease expense and accretion of discounts, net, on marketable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net cash used in operating activities for the three months ended March 31, 2025 was due to our net loss of $21.5 million and $3.3 million of net change in operating assets and liabilities, partially offset by $1.4 million of non-cash charges for depreciation and amortization, stock-based compensation, non-cash operating lease expense, deferred income tax and accretion of discounts, net, on marketable securities. </w:t>
      </w:r>
    </w:p>
    <w:p>
      <w:pPr>
        <w:pStyle w:val="TextBody"/>
        <w:bidi w:val="0"/>
        <w:spacing w:before="120" w:after="283"/>
        <w:jc w:val="both"/>
        <w:rPr>
          <w:rFonts w:ascii="Times New Roman" w:hAnsi="Times New Roman"/>
          <w:sz w:val="20"/>
        </w:rPr>
      </w:pPr>
      <w:r>
        <w:rPr>
          <w:rFonts w:ascii="Times New Roman" w:hAnsi="Times New Roman"/>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of $23.8 million for the three months ended March 31, 2026 was due to $105.2 million of purchases of marketable securities and $0.8 million of purchases of property and equipment, partially offset by the maturity of $82.2 million of marketable securities.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of $4.9 million for the three months ended March 31, 2025 was due to $49.7 million of purchases of marketable securities and $0.4 million of purchases of property and equipment, partially offset by the maturity of $45.2 million of marketable securities.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$0.3 million for the three months ended March 31, 2026. Net cash provided by financing activities for the three months ended March 31, 2026 was due to proceeds from the exercise of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$0.1 million for the three months ended March 31, 2025. Net cash provided by financing activities for the three months ended March 31, 2025 was due to proceeds from the exercise of stock options.</w:t>
      </w:r>
    </w:p>
    <w:p>
      <w:pPr>
        <w:pStyle w:val="TextBody"/>
        <w:bidi w:val="0"/>
        <w:spacing w:before="24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use of cash, cash equivalents, and marketable securities is to fund our operations, primarily research and development expenditures. Cash, cash equivalents, and marketable securities used for operating expenses is impacted by the timing of when we pay these expenses, as reflected in the change in our outstanding accounts payable, accrued expenses and prepaid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and results of discovery, preclinical development, laboratory testing and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successfully develop, obtain regulatory and marketing approvals of our product candidates for the expected indications and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of manufacturing our product candidates for clinical trials and in preparation for marketing approval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collaborations or strategic relationships and the extent to which we identify and enter into future collaborations or other arrangements with additional third parties in order to further develop our product candidates, as well as our ability to realize the intended and potential benefits of such agreements and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of preparing, filing and prosecuting patent applications, maintaining and enforcing our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and fees associated with the discovery, acquisition or in-license of additional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additional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required to scale up our clinical, regulatory and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of future commercialization activities, if any, including establishing sales, marketing, manufacturing and distribution capabilities, for any of our product candidates for which we receive marketing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additional funds to meet operational needs and capital requirements for clinical trials, other research and development expenditures, and business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through a combination of private and public equity offerings, debt financings, collaborations, strategic alliances and marketing, distribution or licensing arrangements. However, the trading prices for our common stock and for other biopharmaceutical companies have been highly volatile. As a result, we may face difficulties raising capital through sales of our common stock, and such sales may be on unfavorable terms. Similarly, adverse macroeconomic conditions and market volatility resulting from global and national economic developments, concerns regarding a potential global recession, political unrest, military conflicts, such as the recent conflict in Iran and ongoing conflicts in Ukraine and in the Middle East, inflationary pressures, disruptions in capital markets, changes in international trade relationships, changes in or the disruptions of U.S. governmental agencies, whether from a future U.S. federal government shutdown or reduced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resources, global health crises, or other factors could materially and adversely affect our ability to consummate an equity or debt financing on favorable terms or at all. We may be unable to raise additional funds or enter into such other agreements or arrangements when needed on favorable terms, or at all. To the extent that we raise additional capital through the sale of equity or convertible debt securities, existing stockholders’ ownership interests will be diluted, and the terms of these securities may include liquidation or other preferences that adversely affect existing stockholders’ rights as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historically financed our operations primarily through the issuances of convertible promissory notes and convertible preferred stock, sales of our common stock, and strategic collaborations with other companies. Since our inception, we have devoted substantially all of our resources to raising capital, organizing and staffing our company, business and scientific planning, conducting discovery and research and development activities, establishing, maintaining, and protecting our intellectual property portfolio, developing and progressing our product candidates and preparing for clinical trials, establishing arrangements with third parties for the manufacture of our product candidates and component materials, engaging in collaboration activities, and providing general and administrative support for these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condensed financial statements, which have been prepared in accordance with generally accepted accounting principles in the United States.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there have been no material changes to our critical accounting policies and estimates as described in our Annual Report.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1 to our condensed financial statements included elsewhere in this Quarterly Report.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qualify as “emerging growth company” under the Jumpstart Our Business Startups Act of 2012 (“JOBS Act”), which permits us to take advantage of an extended transition period to comply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We could be an emerging growth company until the earliest to occur: (i) the last day of the fiscal year in which we have more than $1.235 billion in annual gross revenue; (ii) the date we qualify as a “large accelerated filer” as defined in Rule 12b-2 under the Exchange Act, with at least $700.0 million of equity securities held by non-affiliates; (iii) the issuance, in any three-year period, by us of more than $1.0 billion in non-convertible debt securities; or (iv) the last day of the fiscal year ending after the fifth anniversary of our IPO.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our periodic reports and proxy statements, if either (i) the market value of our stock held by non-affiliates is less than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$250.0 million or (ii) our annual revenue is less than $100.0 million during the most recently completed fiscal year and the market value of our stock held by non-affiliates is less than $700.0 million.</w:t>
      </w:r>
    </w:p>
    <w:p>
      <w:pPr>
        <w:pStyle w:val="TextBody"/>
        <w:bidi w:val="0"/>
        <w:spacing w:before="240" w:after="283"/>
        <w:jc w:val="left"/>
        <w:rPr>
          <w:rFonts w:ascii="Times New Roman" w:hAnsi="Times New Roman"/>
          <w:b/>
          <w:color w:val="000000"/>
          <w:sz w:val="20"/>
        </w:rPr>
      </w:pPr>
      <w:bookmarkStart w:id="11" w:name="item_3_quantitative_and_qualitative_"/>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2" w:name="item_4_controls_and_procedures_"/>
      <w:bookmarkEnd w:id="12"/>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has evaluated the effectiveness of the design and operation of our disclosure controls and procedures (as defined in Rules 13a-15(e) and 15d-15(e) under the Exchange Act), as of the end of the period covered by this Quarterly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such evaluation, our Principal Executive Officer and Principal Financial Officer have concluded that these disclosure controls and procedures were effective at a reasonable assurance level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Rules 13a-15(f) and 15d-15(f) under the Exchange Act) during the fiscal quarter ended March 31, 2026 that have materially affected, or are reasonably likely to materially affect, our internal control over financial reporting.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with respect to this item can be found under “Legal Proceedings” in Note 5 to our condensed financial statements included elsewhere in this Quarterly Report on Form 10-Q (this “Quarterly Report”) and is incorporated by reference into this Item 1. 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For a detailed discussion of the risks and uncertainties related to our business, please refer to the section titled “Risk Factors” in our Annual Report on Form 10-K for the year ended December 31, 2025. You should carefully consider the risks and uncertainties described in our Annual Report on Form 10-K for the year ended December 31, 2025, together with all of the other information contained in or incorporated by reference into this Quarterly Report, including our condensed financial statements and the related notes appearing at the end of this Quarterly Report and the section titled “Management’s Discussion and Analysis of Financial Condition and Results of Operations,” before deciding to invest in our common stock. This Quarterly Report also contains forward-looking statements that involve risks and uncertainties. Our actual results could differ materially from those anticipated in the forward-looking statements as a result of a number of factors. See the section titled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Limited Operating History, Financial Position and Capital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have incurred significant operating losses since our inception and expect to incur significant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Pharmaceutical product development is a highly speculative undertaking and involves a substantial degree of risk. We are a clinical-stage biotechnology company with a limited operating history, which may make it difficult to evaluate the success of our business to date and assess our future viability. Since our inception in December 2019, we have focused primarily on organizing and staffing our company, business planning, establishing our intellectual property portfolio, raising capital, developing our proprietary and structure-based drug discovery platform, identifying and developing our product candidates, conducting research and preclinical studies, including IND-enabling studies, initiating and conducting clinical trials, and providing general and administrative support for these operations. Our approach to the discovery and development of product candidates based on our Native Complex Platform® is unproven, and we do not know whether we will be able to develop any product candidates that succeed in clinical development or commercially. Other than SEP-631 and SEP-479, all of our current product candidates and development programs are in preclinical development or in the drug discovery stages. Accordingly, we have not yet successfully completed any advanced clinical trials, demonstrated an ability to successfully obtain regulatory approvals, manufactured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pharmaceutical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 to date, and we continue to incur significant research and development and other expenses related to our preclinical and clinical development and ongoing operations. As a result, we are not profitable and have incurred significant losses since our inception, with the exception of the year ended December 31, 2023, and negative cash flows from operating activities and capital expenditures and expect to continue to incur significant and increasing operating losses for at least the next several years. If our product candidates are not successfully developed and approved, we may never generate any significant revenue. For the three months ended March 31, 2026 and 2025, our net losses were $8.6 million and $21.5 million, respectively. As of March 31, 2026, we had an accumulated deficit of $175.9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marketing approvals and begin generating revenue from product sales. We expect to continue to incur significant losses for the foreseeable future, and we expect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succeed in developing and obtaining marketing approval for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our common stock and impair our ability to raise capital, maintain our research and development efforts, expand our business or continue our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will require substantial additional funding in order to finance our operations.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of pharmaceutical product candidates, including conducting preclinical studies and clinical trials, is a very time-consuming, capital-intensive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Because the outcome of any clinical trial or preclinical study is highly uncertain, we cannot reasonably estimate the actual amount of capital necessary to successfully complete the development and commercialization of our product candidates. Other unanticipated costs may also arise.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product development programs, future commercialization efforts or other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we had $522.1 million in cash, cash equivalents and marketable securities. We expect that our cash, cash equivalents, and marketable securities will enable us to fund our operating expenses and capital expenditure requirements at least into 2029. However, we have based this estimate on assumptions that may prove to be wrong, and our operating plan may change as a result of factors currently unknown to us, and we may need to seek funding sooner than planned. Our future capital requirements will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product candidates in any jurisdictions in which we or our current or any future collaborators may seek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manufacturing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manufacturing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 and license agreements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liability or other lawsuits related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global economic uncertainty and geopolitical tensions, which may exacerbate the magnitude of the factors discussed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identify, continue the research and development of, initiate preclinical studies and clinical trials of, and seek marketing approval for, product candidates,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Without sufficient funding, our license agreements and any future collaboration agreements may also be terminated if we are unable to meet the payment or other obligations under such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never generated revenue from product sales and may never be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collaborative partners, to successfully complete the development of, obtain the regulatory approvals necessary to commercialize and eventually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product candidates and successfully complete research and development of any product candidates we may identify;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product candidates through preclinical and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and obtain regulatory approvals for any product candidates for which we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 and commercialize any product candidates for which we may obtain regulatory approval by establishing a sales force, marketing and distribution infrastructure, or alternatively, collaborating with a commercialization partner;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performing our obligations in such collaborations;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 coverage and adequate reimbursement by healthcare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 against third-party intellectual property claims of infringement, misappropriation or other violation;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expenses could increase beyond expectations if we are required by the FDA, EMA, the competent authorities of individual EU Member States, or other comparable foreign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 Our failure to become and remain profitable may have an adverse effect on the value of our company and depress the market price of our common stock and could impair our ability to raise capital, expand our business, maintain our research and development efforts, diversify our product candidate pipeline, achieve our strategic objectives or continue our operations. A decline in the value of our company could also cause you to lose all or part of your investment.</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Risks Related to Discovery, Development and Regulatory Approval of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early in our development efforts,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business depends primarily upon our ability to identify, develop and commercialize product candidates. We are early in our development efforts and discontinued our first Phase 1 study of our prior lead candidate, SEP-786, in 2025. Other than SEP-631, for which we presented data from the Phase 1 clinical trial at the AAAAI annual meeting on March 1, 2026, and SEP-479, for which we initiated our Phase 1 clinical trial in April 2026, our product candidates and development programs are in preclinical development or in the drug discovery stages. We have invested substantially all of our research efforts to date in developing our Native Complex Platform®, identifying potential product candidates and conducting preclinical and clinical studies. As an organization, we have limited experience in conducting and managing clinical trials necessary to obtain regulatory approvals, and we may be unable to do so for our product candidates. While we plan to continue to advance SEP-631 and SEP-479 in clinical development, and we are also planning to advance multiple lead compounds towards selection of a next-generation oral small molecule PTH1R agonist development candidate, we have not successfully completed any advanced clinical trials to date. Additionally, we have a portfolio of targets and programs that are in earlier stages of discovery or preclinical development and may never proceed to advanced clinical-stage development. If we are able to advance these other targets and programs into advanced clinical development, we do not have experience managing multiple clinical trials simultaneously, working with global clinical trials, or working in multiple different disease indications.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Before obtaining regulatory approval for the commercial distribution of our product candidates, we must conduct extensive preclinical tests and clinical trials to demonstrate the safety and efficacy in humans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the financial resources to continue development of, or the ability to enter into new collaborations for, a product candidate if we experience any issues that delay or prevent regulatory approval of, or our ability to commercialize,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study results may show the product candidate to be less effective than desired or to have harmful or problematic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product-related side effects experienced by patients in our clinical trials or by individuals using product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inability to successfully manufacture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any third-party contract manufacturer to scale up manufacturing of our product candidates and those of our collaborators to supply the needs of clinical trials or commercial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submitting INDs or other comparable foreign applications or delays or failures in obtaining the necessary approvals from regulators to commence a clinical trial, or a suspension or termination of a clinical trial once commenced;</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conducted outside of the United States may be affected by tariffs (including tariffs that have been or may in the future be imposed by the United States or other countries), sanctions, trade protection measures or import/export restrictions imposed by the United States or other foreign governments (including further legislation or actions taken by the United States or other countries that restrict trade);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imposed by the FDA, EMA or other comparable foreign regulatory authorities regarding the scope or design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enrolling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 drop-out rates of our clinical trial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supply or quality of product candidate components or materials or other supplies necessary for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alternative sources of supply for which we have a single source for product candidate components or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than anticipated costs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costs, formulation issues, pricing or reimbursement issues, or other factors that no longer make a product candidate economically feasible;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harmful side effects or inability of our product candidates to meet efficacy endpoints during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a benefit-risk profile acceptable to the FDA, EMA, or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FDA, EMA, or other comparable foreign regulatory authority inspection and review of any of the clinical trial sites or manufacturing facilities used in the testing and manufacture of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varying interpretations of our data by the FDA, EMA, and similar foreign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complete development of, or commercialize our product candidates, or significant delays in doing so due to one or more of these factors, could have a material and adverse effect on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therapeutic candidates or any of our future therapeutic candidates on a timely basis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the FDA, EMA or other comparable foreign regulatory authorities, including FDA, EMA or other comparable foreign regulatory authorities requesting additional preclinical or clinical data (such as long-term toxicology studies), or encountering unexpected safety or manufacturing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study results may show the product candidate to be less effective than desired or to have harmful on-target or off-target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extensive post-marketing approval requirements;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proprietary rights of others and their competing products and technologies that may prevent our product candidates from being commercialized.</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 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cGMPs and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submit an IND or comparable foreign application to permit initiation of clinical studies, and then conduct extensive clinical trials to demonstrate the safety and efficacy of product candidates in humans.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we can commence clinical trials for a product candidate, we must complete extensive preclinical testing and studies that support our INDs and other regulatory filings. We cannot be certain of the timely identification of a product candidate or the successful completion or outcome of our preclinical testing and studies and cannot predict whether the FDA, EMA or other comparable foreign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other comparable foreign regulatory submissions for our preclinical programs on the timelines we expect, if at all, and we cannot be sure that submission of INDs will result in the FDA, EMA, or other comparable foreign regulatory authority allowing clinical trials to begin.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that may prevent successful enrollment, initiation or timely completion of clinical development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may be unable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applicable regulatory authorities on trial design or implementation;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regulatory authorization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CROs, other vendors, or clinical trial sites, the terms of which can be subject to extensive negotiation and may vary significantly among different vendors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approval from one or more IRBs refusing to approve, suspending or terminating the trial at an investigational site, precluding enrollment of additional participants, or withdrawing their approval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ongoing and planned clinical trials;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the clinical trial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manufacturing sufficient quantities of our product candidates for use in clinical trials, or delays in sufficiently developing, characterizing or controlling a manufacturing process suitable for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our product candidates being shipped on time, clearing customs and arriving at clinical trial sites intact;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participants choosing an alternative treatment for the indication for which we are developing our product candidates, or participating in competing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adequate funding to continue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AEs or SAEs associated with the product candidate that are viewed to outweigh its potential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temporary or permanent clinical hold by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selection of clinical trial end points that require prolonged periods of clinical observation or analysis of the resulting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producing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or comparable foreign authorities to temporarily or permanently shut down due to violations of cGMP regulations or other applicable requirements, or contamination or cross-contaminations of product candidates in the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guidance, or feedback from regulatory agencies that require amending or submitting new clinical protocols or otherwise modifying the design of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overseeing the conduct of such trials, by a Data Safety Monitoring Board for such trial or by the FDA, EMA, or other comparable foreign regulatory authorities. Such regulatory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comparable regulatory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conducting clinical trials in foreign countries, as we have done and may continue to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 or other constraints impede patient movement or interrupt healthcare services. Similarly, our ability to recruit and retain patients and principal investigators and site staff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public health concerns. We may face delays in meeting our anticipated timelines for our ongoing and planned clinical trials, which could adversely affect our business, financial condition, results of operations and growth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completed the evaluation of any product candidates in advanced human clinical trials. It is impossible to predict when or if any product candidates we may develop will ultimately prove safe in humans. As is the case with pharmaceuticals generally, it is likely that there may be side effects and AEs associated with our product candidates’ use.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3 trials or, in some cases, after they are made available to patients on a commercial scale after approval. If additional clinical experience indicates that any of our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EMA, and other comparable foreign regulatory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after we commence our clinical trials. Many compounds that initially showed promise in early-stage testing have later been found to cause side effects that prevented further development of the compound. For example, we discontinued development of our previous lead candidate, SEP-786, following the observation of two unanticipated severe (Grade 3) events of elevated unconjugated bilirubin in the MAD portion of the Phase 1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any of our product candidates receive marketing approval, the FDA could require us to include a boxed warning in our label or adopt a risk evaluation and mitigation strategy (“REMS”), to ensure that the benefits outweigh its risks, which may include, among other things, a medication guide outlining the risks of the drug for distribution to patients and a communication plan to health care practitioners. For example, the FDA required that the product label for NATPARA, an approved, injectable parathyroid hormone product targeting PTH1R for the management of hypoparathyroidism include a boxed warning related to the risk of osteosarcoma based on rodent carcinogenicity studies and also implemented a REMS program to ensure patients and prescribers were appropriately counseled on the benefits and risks of the drug. Similarly, the FDA initially included boxed warnings for FORTEO and TYMLOS, injectable PTH peptides approved for osteoporosis due to the risk of osteosarcoma. While we have not yet conducted carcinogenicity studies for any of our product candidates that target PTH1R, it is possible that absent compelling data to the contrary, the FDA, EMA, and other comparable foreign regulatory authorities will similarly require a boxed warning if any product candidates we may advance to clinical development that target PTH1R are approved for marketing. Furthermore, if we or others later identify undesirable side effects caused by our product candidates, several other potentially significant negative consequences could result,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suspend or withdraw approvals of such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conduct a recall;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product candidates are subject to extensive regulation and compliance obligations, which is costly and time-consuming and which may cause unanticipated delays or prevent the receipt of the required approvals to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clinical development, testing, quality control, safety, effectiveness, manufacturing, labeling, packaging, storage, record-keeping, advertising, promotion, marketing, import, export, distribution, post-approval monitoring, and post-approval reporting of our product candidates are subject to extensive regulation by the FDA in the United States and by comparable foreign regulatory authorities in foreign markets. In the United States, neither we nor any current or future collaborators are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new relevant statutes or regulations may be enacted, and the FDA, EMA and other comparable foreign regulatory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current or future collaborator is permitted to market any of our product candidates in the United States until we receive approval from the FDA. In February 2026, the FDA Commissioner publicly indicated that a single adequate and well-controlled pivotal clinical trial supported by confirmatory evidence will be the FDA’s default standard moving forward for novel products, rather than two such trials; this statement was not a formal agency action, and the scope, implementation and durability of this policy position remain uncertain. The FDA retains broad discretion to require additional clinical data for any product candidate, including a second adequate and well-controlled clinical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abroad, we or our collaborators must demonstrate with substantial evidence from adequate and well-controlled clinical trials, and to the satisfaction of the FDA, EMA or other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EMA and other comparable foreign regulatory authorities, which could require us to delay or abandon clinical development plans. In addition, regulatory authorities may require us to conduct further preclinical studies before evaluating our product candidate in a clinical trial. Once we initiate clinical trials, the FDA, EMA, or other comparable foreign regulatory authorities may require additional clinical trials or suggest changes to our planned clinical trials, prior to and in support of the approval of a NDA or equivalent foreign marketing application. Changes to data requirements by the FDA, EMA, or other comparable foreign regulatory authorities during the development of our product candidates may cause the applicable regulatory authorities to require us to conduct additional preclinical studies or clinical trials for our product candidates either prior to or post-approval, or regulatory authorities may object to elements of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can delay, limit or deny approval of a product candidate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statistical significance required by the FDA, EMA or other comparable foreign regulatory authorities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demonstrate that a product candidate is safe and effective, and that a product candidate’s clinical and other benefits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our interpretation or analysis of data from preclinical studies or clinical trials; 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regarding the formulation, labeling and/or the specifications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may be granted only for indications that are significantly more limited than what has been applied for and/or with other significant restrictions on distribution and use;</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find deficiencies in the manufacturing processes, approval policies or facilities of our third-party manufacturers with which we or any of our current or future collaborators contract for clinical and commercial supplies;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such authorities may significantly change in a manner rendering our or any of our current or future collaborators’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current or future collaborators from commercializing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nature and duration of competing treatments and ongoing clinical trials of competing drugs for the same indication, the proximity of patients to clinical trial sites and the eligibility criteria for the clinical trial. As our programs progress, we or our collaborators may not be able to initiate or continue clinical trials for any product candidates we identify or develop if sufficient numbers of eligible patients are unable to be located and enrolled to participate in these trials as required by the FDA, EMA, or other comparable foreign authorities, or as needed to provide appropriate statistical power for a given trial. For certain of our product candidates,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or our collaborators also may encounter difficulties in identifying and enrolling patients with a stage of disease appropriate for the planned clinical trials and monitoring such patients adequately during and after treatment. As noted above, other pharmaceutical companies targeting these same diseases are recruiting clinical trial patients from these patient populations, and patients who would otherwise be eligible for our clinical trials may instead enroll in clinical trials of our competitors’ product candidates, which may make it more difficult to fully enroll patients in clinical trials for our product candidates. In addition, the process of finding and diagnosing patients may prove costly.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eligibility criteria of clinical trials for our product candidates, once established, may further limit the pool of available trial participants. If the actual number of patients with these diseases is smaller than anticipated, clinical trials for our product candidates may encounter difficulties in enrolling patients, thereby delaying or preventing development and approval of our product candidates. Even once a sufficient number of patients have been enrolled in a clinical trial for our product candidate, the inability to retain patients through to the study’s completion may cause a failure of the study to meet its objectives and/or clinical endpoints.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completion of clinical trials in accordance with their protocols depends, among other things, on the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 in particular for rare diseases such as the diseases on which we are focused initially, and process for identifying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facilitate timely enrollment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existing body of safety and efficacy data for the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nature of competing treatments and ongoing clinical trials of competing therapies for the same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and availability of clinical trial sites for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complexity of the trial, including number of office visits, lab tests, patient evaluations, and dosing regimens;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adequately monitor patients during a trial, clinicians’ and patients’ perceptions as to the potential advantages of the product candidate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patients will drop out of a trial before completing all site visits;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our efforts to build relationships with patient communities may not succeed, which could result in delays in patient enrollment in clinical trials for our product candidates. In addition, any negative results we or our collaborators may report in clinical trials of a given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Further, if patients drop out of clinical trials for our product candidates, miss scheduled doses or follow-up visits, or otherwise fail to follow clinical trial protocols, the integrity of data from clinical trials for our product candidates may be compromised or not accepted by the FDA, EMA, or other comparable foreign regulatory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and manufacturers’ facilities are required to comply with extensive FDA, EMA and other comparable foreign regulatory authority requirements, including ensuring that quality control and manufacturing procedures conform to cGMP regulations and applicable product tracking and tracing requirements.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or other comparable foreign regulatory authority approves our product candidates, we will have to comply with requirements including submissions of safety and other post-marketing information and reports and registration.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our products, withdrawal of the product from the market or voluntary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withdrawal of approvals;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under the FDORA, sponsors of approved drugs and biologics must provide six months’ notice to the FDA of any changes in marketing status, such as the withdrawal of a drug, and failure to do so could result in the FDA issuing a publicly available non-compliance letter to the sponsor. The FDA strictly regulates marketing, labeling, advertising and promotion of products that are placed on the market. Products may be promoted only for the approved indications and in accordance with the provisions of the approved label. The policies of the FDA, EMA and other comparable foreign regulatory authorities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As a result of the U.S. Supreme Court’s decision, the FDA and other agencies may be less inclined to engage in formal regulation and may rely to a greater degree on informal guidance, which may not always be susceptible to immediate challenge. We cannot predict the likelihood, nature or extent of government regulation or guidance that may arise from future court decisions, legislation, or administrative action, either in the United States or abroad. If we are slow or unable to adapt to changes in existing requirements or guidance or the adoption of new requirements, guidance, or policies, or if we are not able to maintain regulatory compliance, we may lose any marketing approval that we may have obtained and we may not achieve or sustain profitability.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do not achieve our projected development goals in the time frames we announce and expect, the commercialization of our therapeutics may be delayed and, as a result, our stock price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estimate the timing of the anticipated accomplishment of various scientific, clinical, regulatory and other product development goals, which we sometimes refer to as milestones. These milestones may include our expectations regarding the commencement or completion of scientific studies and clinical trials and the submission of regulatory filings. From time to time, we may publicly announce the expected timing of some of these milestones, such as the completion of an ongoing clinical trial or the initiation of other clinical programs. All of these milestones are and will be based on numerous assumptions,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of progress, costs and results of clinical trials for our drug candidates and research and development activities, including the extent of scheduling conflicts with participating clinicians and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collaborators’ ability to identify and enroll patients who meet clinical trial eligibility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collaborators’ receipt of approvals by the FDA, EMA, and other comparable foreign regulatory authorities and the timing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collaborators’ ability to access sufficient, reliable and affordable supplies of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efforts of our collaborators with respect to the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securing product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timing of these milestones can vary dramatically compared to our estimates, in some cases for reasons beyond our control. If these milestones are not met as publicly announced, or at all, the commercialization of our product candidates may be delayed or never achieved and, as a result, our stock price may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preclinical studies and early clinical trials on any of our product candidates may not be predictive of results of future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outcome of preclinical studies and early clinical trials may not be predictive of the success of later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In addition, while the animal models used in preclinical studies are designed to be representative of disease states in humans, these preclinical models may not be able to accurately predict the way a product candidate will affect patients in clinical trials. We have limited experience in designing clinical trials and may be unable to design and execute a clinical trial to support regulatory approval. In addition, preclinical and clinical data are often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product formulation and other clinical trial protocols and the rate of dropout among clinical trial patients.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or indications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managerial resources, and to date, we have focused on research programs and product candidates within the endocrinology, immunology and inflammation, neurology and metabolic therapeutic areas. In April 2026, we announced initiation of a placebo-controlled, SAD and MAD Phase 1 clinical trial in Australia of our new PTH1R development candidate, SEP-479. Correctly prioritizing our research and development activities is particularly important for us due to the breadth of potential product candidates and indications that we believe could be pursued by leveraging our Native Complex Platform®. As a result, we may forgo or delay pursuit of opportunities with other product candidates or in other therapeutic areas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We must continually assess the potential commercial viability of our research programs and product candidates, and we may decide to pause or discontinue development of any of our product candidates based upon such assessments, even if we obtain positive data from our product candidates in preclinical studies and clinical trials.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proprietary Native Complex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key element of our strategy is to use our proprietary Native Complex Platform® to overcome the historical limitations of GPCR drug development, including the isolation, purification and stabilization of GPCRs in their native forms, in order to build a robust and diverse portfolio of potentially first-in-class and best-in-class oral small molecule therapies that address both well-validated and novel GPCR targets.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scientific research that forms the basis of our efforts to develop product candidates with our platform is still ongoing. We are not aware of any FDA approved therapeutics utilizing the technology underlying our platform. Further, the scientific evidence to support the feasibility of developing therapeutic treatments based on our platform is both preliminary and limited. As a result, we are exposed to a number of unforeseen risks and it is difficult to predict the types of challenges and risks that we may encounter during development of our product candidates. For example, we have only generated limited clinical data on our prior lead candidate, SEP-786, which led us to discontinue the program, and we have generated only limited early clinical data for SEP-631, our selective, oral small molecule MRGPRX2 NAM. Our current data on our development pipeline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purity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novelty of our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authorities may lack experience in evaluating the safety and efficacy of product candidates like those developed using our platform, which could result in a longer than expected regulatory review process, increase our expected development costs, and delay or prevent commercialization of our product candidates. We cannot be certain that our approach will lead to the development of approvable or marketable products, alone or in combination with other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research and development efforts to date have resulted in a development portfolio of potential programs and product candidates, we may not be able to discover or identify novel chemical matter to new GPCR targets and thus not be able to develop product candidates to expand our development portfolio. We may also pursue opportunities to acquire or in-license additional businesses, technologies or products, form strategic alliances or create joint ventures with third parties to complement or augment our existing business. However, we may not be able to identify any product candidates through such acquisition or in-license.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are successful in continuing to build and expand our development portfolio, the potential product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develop our product candidates in combination with other therapies, which would expose us to additional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develop our product candidates in combination with one or more currently approved therapies or therapies in development.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evaluate our product candidates in combination with one or more other therapies that have not yet been approved for marketing by the FDA, EMA or other comparable foreign regulatory authorities. We will not be able to market and sell any product candidate in combination with any such unapproved therapies that do not ultimately obtain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we cannot be certain that we will be able to obtain a steady supply of such therapies for use in developing combinations with our product candidates on commercially reasonable terms or at all. Any failure to obtain such therapies for use in clinical development and the expense of purchasing therapies in the market may delay our development timelines, increase our costs and jeopardize our ability to develop our product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product candidates, we may be unable to obtain approval of or successfully market any one or all of the product candidates we develop.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Risks Related to Commercialization, Marketing and Competition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commercializing products, and we may invest significant resources to develop these capabilities. If we are unable to establish marketing, sales or distribution capabilities or enter into agreements with third parties to market and sell our products, we may not be able to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Furthermore, we are currently developing products for multiple indications in different medical specialties, which will require us to build different sales and marketing capabilities that are tailored to a given product or medical specialty.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any of our product candidates receive marketing approval, such product candidate may fail to achieve market acceptance by physicians, patients, third-party payors or others in the medical community necessary for commercial success, in which case we may not generate significant revenues or become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commercialized a product, and even if any of our product candidates are approved by the appropriate regulatory authorities for marketing and sale, it may nonetheless fail to gain sufficient market acceptance by physicians, patients, third-party payors and others in the medical community. Historically, several injectable PTH peptides have been approved by the FDA and other regulatory authorities for treatment of hypoparathyroidism and osteoporosis. However, our lead product candidate is an oral small molecule agonist; to date, no such oral small molecule in this indication has been approved by the FDA or any other regulatory agency. Market participants with significant influence over acceptance of new treatments, such as clinicians and third-party payors, may not adopt new oral treatments for hypoparathyroidism or osteoporosis, and we may not be able to convince the medical community and third-party payors to accept and use, or to provide favorable reimbursement for, any product candidates developed by us or our existing or future collaborators. If our product candidates do not achieve an adequate level of acceptance, we may not generate significant product revenue and may not become profitable. The degree of market acceptance of our product candidates,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and patient populations for which the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efficacy and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or our collaborators’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 and therapies, including any similar generic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offer such product for sale at competitive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convenience and ease of administration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including distribution or use of restrictions contained in the product’s approved labeling;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inclusion of any REMS program or other restrictions included by the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restrictions on the use of the product together with other medications.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efforts to educate physicians, patients, third-party payors and others in the medical community on the benefits of our product candidates may require significant resources and may never be successful. Because we expect sales of our product candidates, if approved, to form the basis for substantially all of our revenues for the foreseeable future, the failure of our product candidates, if approved, to find market acceptance would harm our business and could require us to seek additional financing.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are able to commercialize any product candidate, the 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adequacy of coverage and reimbursement by governmental healthcare programs such as Medicare and Medicaid, private health insurers and other third-party payors in the United States are essential for most patients to be able to afford treatments such as our products or product candidates, if approved. Our ability to achieve acceptable levels of coverage and reimbursement for drug treatments by governmental authorities, private health insurers and other organizations will have an effect on our ability to successfully commercialize our products, and potentially attract additional collaboration partners to invest in the development of our product candidates. We cannot be sure that adequate coverage and reimbursement in the United States, the EU, Australia or elsewhere will be available for our products or any products that we may develop, and any reimbursement that may become available may be decreased or eliminated in the future. For more information, see the section titled “Business–Government Regulation–Coverage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a generic drug as substitutable and only offer to reimburse patients for the generic drug. Even if we show improved efficacy or safety or improved convenience of administration with our products or product candidates, if approved, pricing of an established drug for the same or similar indication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drugs related to our product candidates.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authorization.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particularly prescription drugs, medical devices and surgical procedures and other treatments, has become very intense. As a result, increasingly high barriers are being erected to the entry of new products.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and novel products and product candidates. While we believe our product candidates, platform, knowledge, experience and scientific personnel provide us with several key competitive advantages, we face competition from major pharmaceutical and biotechnology companies, academic institutions, governmental agencies and public and private research institutions, among others.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 Several other companies also focus on GPCRs and have platform technologies that are distinct from the Native Complex Platform®, including Nxera Pharma Co., Ltd. (formerly Sosei Heptares), Structure Therapeutics Inc., Tectonic Therapeutics, Inc., and Confo Therapeutics.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face competition with respect to our product candidates and will face competition with respect to any other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aware of several pharmaceutical companies that have commenced clinical trials of product candidates or have successfully commercialized products addressing areas that we are targeting. Takeda Pharmaceuticals owns the rights to parathyroid hormone product (brand name NATPARA) for the treatment of hypoparathyroidism. NATPARA was voluntarily recalled due to manufacturing issues in September 2019 in the United States and is now only available to a limited number of patients through a Special Use Program offered by its manufacturer. In October 2022, Takeda Pharmaceuticals announced manufacturing of all strengths of NATPARA will be discontinued globally by the end of 2024. Ascendis Pharma received regulatory approval for a proprietary once-daily injectable PTH peptide, palopegteriparatide (brand name YORVIPATH), in Europe and the United States. In March 2024, AstraZeneca acquired Amolyt Pharma, who was developing eneboparatide, a proprietary, once-daily injectable PTH peptide, for hypoparathyroidism, currently in Phase 3 studies. In addition, we are aware of several academic groups and companies working on making longer-acting agonists of the PTH1R. Other companies and groups are developing or commercializing therapies for hypoparathyroidism, including Calcilytix Therapeutics, Inc. (a BridgeBio Pharma, Inc. company), Entera Bio Ltd, Extend Biosciences, Inc., and MBX Biosciences, Inc. Several companies are developing clinical-stage small molecule MRGPRX2 inhibitors, including Escient Pharmaceuticals (acquired by Incyte Pharmaceuticals in April 2024), Evommune, Inc. and BioArdis LLC. Further there are several other companies pursuing therapies for chronic spontaneous urticaria addressing other receptors of interest, such a Genentech, Inc., Sanofi, Celldex Therapeutics, Inc., Jasper Therapeutics, Inc., Novartis AG, Third Harmonic Bio, Inc., and Blueprint Medicines (a Sanofi company). For TSHR, we are aware that Byondis BV and Crinetics Pharmaceuticals are also working on research stage compounds, but they have not yet entered clinical development. In addition, several companies are working on other mechanisms to address Graves’ disease, such as Immunovant, Inc., and TED, including Amgen, Inc., Viridian Therapeutics, argenx SE, Roche Holding AG, Lassen Therapeutics, Inc., Tourmaline Bio, Inc. (acquired by Novartis in October 2025), Sling Therapeutics, Inc., and Acelyrin, Inc. (merged with Alumis, Inc. in May 2025). There are also several currently approved injectable products targeting incretin receptors for the treatment of obesity or type 2 diabetes (“T2D”). These include, but are not limited to, products such as Ozempic and Wegovy (semaglutide, each marketed by Novo Nordisk A/S) for T2D and obesity, respectively, Trulicity (dulaglutide, marketed by Eli Lilly and Company) for T2D, and Mounjaro and Zepbound (tirzepatide, each marketed by Eli Lilly and Company) for T2D and obesity, respectively. There are also several injectable peptide products in development pursuing similar indications with similar mechanism of actions along with combination products, including those being developed by Amgen, Inc., AstraZeneca, Boehringer Ingelheim, Eli Lilly and Company, Novo Nordisk A/S, Roche Holding AG, and Viking Therapeutics, Inc., among others. In addition, there are oral products such as Rybelsus (semaglutide, marketed by Novo Nordisk A/S) approved for patients with T2D and other oral products in development for treating obesity or T2D, including those being developed by AstraZeneca, Eli Lilly and Company, Pfizer Inc., Roche Holding AG, Structure Therapeutics Inc., and Terns Pharmaceuticals, Inc. Based on our continuing evaluations of the competitive landscape, we may decide to reallocate resources and reprioritize our development programs if we determine that a particular product candidate or target indication is no longer commercially viable or advantageous.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EU drug marketing and reimbursement regulations may materially affect our ability to market and receive coverage for our products in the EU Member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including the EU. If we obtain approval in one or more foreign jurisdictions for our product candidates, we will be subject to rules and regulations in those jurisdictions. In some foreign countries, particularly those in the EU,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reward improper performance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in some foreign countries, including some countries in the EU,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marketing approval of our product candidates in one jurisdiction does not mean that we will be successful in obtaining marketing approval of our product candidates in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foreign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to be charged for a product candidate is also subject to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our collaborators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growth may depend, in part, on our ability to commercialize products in foreign markets, where we would be subject to additional regulatory burdens and other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manufacturing, commercial sales, pricing and distribution of our product candidates. If we obtain regulatory approval of our product candidates and ultimately commercialize our products in foreign markets, we would be subject to additional risks and uncertainties,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drugs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existence of additional third-party patent rights of potential relevance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common;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pandemics or similar public health crises.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market opportunities for any of our product candidates are smaller than we estimate, even assuming approval of a product candidate, our revenue may be adversely affected, and our business may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Business Operation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degree of success and cost of, and level of investment in, research, development, regulatory approval and commercialization activities relating to our product candidates, which may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coverage and reimbursement policies with respect to our product candidates, if approved, and potential future drugs that compete with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which may vary depending on FDA, EMA or other comparable foreign regulatory authority guidelines and requirements, the quantity of production and the terms of our agreements with third-party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 and technologies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any of our product candidates, if approved, which may fluctuate significantly and be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or failure of preclinical studies or clinical trials or regulatory approval for our product candidates or any competing product candidates, or any other change in the competitive landscape of our industry, including consolidation among our competitors or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effects of macro events, such as inflation, tariffs, armed conflicts, geopolitical conflicts, pandemics, natural disasters and supply chain issues, on our business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changing and volatile global economic and political environment.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price decline could occur even when we have met any previously publicly stated revenue or earnings guidance we may provide.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expect to expand our organization, and as a result, we may encounter difficulties in managing our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ofMarch 31, 2026, we had 123 full-time employees. As we advance our research and development programs, we may need to further increase the number of our employees and the scope of our operations, particularly in the areas of clinical development, biology, chemistry, manufacturing, general and administrative matters related to being a public company, regulatory affairs and, if any of our product candidates receives marketing approval, sales, marketing and distribution. To manage our anticipated future growth, we must: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general and administrative functions;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recruit, integrate, maintain and motivate additional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 our development efforts effectively, including the initiation and conduct of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build a marketing and commercial organization;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 our operational, financial and management controls, reporting systems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highly dependent on the services of our senior management team and if we are not able to retain these members of our management team and recruit and retain additional management, clinical and scientific personnel, our business will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senior management team. In particular, we are highly dependent on the development and management expertise of Jeffrey Finer, M.D., Ph.D., our Chief Executive Officer, and the other principal members of our management, scientific and clinical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vendors and collaboration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(i) FDA, the national competent authorities of individual EU Member States, or comparable foreign regulations, including those laws that require the reporting of true, complete and accurate information to the FDA, EMA, or other comparable foreign regulatory authorities; (ii) manufacturing standards; (iii) U.S. federal and state fraud and abuse and other healthcare laws and regulations, including foreign requirements; or (iv)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clinical trials or falsification of clinical trial data,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U.S. and international trade policies, particularly with respect to China, may adversely impact our business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government has recently made statements and taken certain actions that may lead to potential changes to U.S. and international trade policies, including imposing several rounds of tariffs and export control and sanctions restrictions affecting certain products manufactured in China.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It is unknown whether and to what extent new tariffs, export controls, or other new laws or regulations will be adopted, or the effect that any such actions would have on us or our industry. For example, in December 2025, the National Defense Authorization Act (“NDAA”) for Fiscal Year 2026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which include WuXi AppTec and WuXi Biologics, or collectively WuXi,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Sustained uncertainty about or further escalating trade and political tensions between the U.S. and China may prevent or hinder the export of materials or technical information among us, our contract development and manufacturing organizations (“CDMOs”) and other relevant third parties, such as pharmaceutical partners, or could result in trade or retaliatory restrictions that may hinder or potentially inhibit our ability to rely on CDMOs and other service providers that operate in China. Further, regulatory or legislative action taken by the U.S. to impose restrictions on transactions with China, like the restrictions described above, could have the potential to severely restrict the ability of companies like ours to contract with Chinese biotechnology companies of concern, which could have adverse effects on the development of our product candidates and our business operations. See the risk factor titled “Risks Related to Government Regulatory and Legal Requirements—We rely on third-party manufacturers, CROs, CMOs, and suppliers to supply, develop and test components of our product candidates. The loss of our third-party manufacturers, CROs, CMOs, or suppliers, their failure to comply with applicable regulatory requirements or to supply sufficient quantities at acceptable quality levels or prices, or at all, or changes in methods of product candidate manufacturing, development or formulation would materially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unfavorable government policies on international trade, such as export controls, economic, sanctions, capital controls or tariffs, may increase the cost of manufacturing our product candidates and platform materials, affect our ability to commercialize our product candidates if approved, the competitive position of our product candidates, and import or export of raw materials and finished product candidate used in our preclinical studies and clinical trials, particularly with respect to any product candidates and materials that we import from China, including pursuant to our service arrangements with WuXi. If any new tariffs, export controls, sanctions, legislation and/or regulations are implemented, or if existing trade agreements are renegotiated or, in particular, if either the U.S. or Chinese government takes retaliatory trade actions due to the recent trade tensions, such changes could have an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trial and product liability lawsuits against us could divert our resources, could cause us to incur substantial liabilities and could limit commercialization of any product candidates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an inherent risk of clinical trial and product liability exposure related to the testing of any product candidates we may develop in clinical trials, and we will face an even greater risk if we commercially sell any products that we may develop. While we currently have not completed the evaluation of any product candidates in human clinical trials or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and inability to continue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time and costs to defend any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our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decline in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continue to commence clinical trials or if we commence commercialization of any product candidates, we may seek to increase our insurance coverage.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 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Under certain environmental laws, we could be held responsible for costs relating to any contamination at our current or past facilities and at third-party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ability to utilize our net operating loss carryforwards and certain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incurred losses and we may never achieve profitability. As of December 31, 2025, we had $45.8 million of federal net operating loss (“NOL”) carryforwards and $77.9 million of state NOL carryforwards, available to reduce future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taxable income. To the extent that we continue to generate taxable losses, under current law, our unused U.S.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(“Code”), if a corporation undergoes an “ownership change,” generally defined as one or more stockholders or groups of stockholders who own at least 5%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In addition, we may experience ownership changes in the future due to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and could require us to pay U.S. federal income taxes earlier than would be required if such limitations were not in effect.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example, under Senate Bill 167 enacted by California in June 2024, generally, there is a suspension of the NOL deduction for tax years beginning on or after January 1, 2024, and before January 1, 2027 for individual and corporate taxpayers with net business income or modified adjusted gross income of $1 million or more, and a limit of $5 million of business credits on the aggregate use of otherwise allowable business tax credits that any individual or corporate taxpayer could claim for tax years beginning on or after January 1, 2024, and before January 1, 2027. For these reasons, we may not be able to realize a tax benefit from the use of our NOLs or tax credits, even if we attain profitability.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and may in the future engage in strategic transactions that could impact our liquidity, increase our expenses and present significant distractions to our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and in the future, we may consider strategic transactions, such as acquisitions of companies, asset purchases, and in-licensing or out-licensing of products, product candidates or technologies from time to time.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exposure to unknown liabilities, including potential indemnification claims from a potential spin-off or out-license of certain of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 of our business and diversion of our management’s time and attention to develop acquired products,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than expected costs in risk-sharing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higher-than-expected acquisition and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lower-than-expected benefits, from out-licensing or selling our technology or intellectual property or from in-licensing intellectual property or purchasing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and cost in combining or separating the operations and personnel of any acquired or sold businesses with our existing operations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disagree with our strategic partners about decisions affecting the business, which could result in litigation or arbitration that increases our expenses, distracts our officers and directors and disrupts the day-to-day operations of the strategic venture, including by delaying important decisions until the dispute is resolved;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partners may take actions that we oppose;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partners might experience financial distress or become bankrupt;</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impairment of relationships with key suppliers or customers of any acquired or sold businesses due to changes in our senior management and ownership;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retain key employees of any acquired businesses.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extent we enter into a strategic transaction that includes ongoing operations or shared ownership and management, our strategic partners may take actions that we oppose or we may disagree with our strategic partners about decisions affecting the business, which could result in litigation or arbitration, distract our officers and directors and otherwise disrupt the day-to-day operations of our business and the business of the strategic partner or entity. Furthermore, to the extent that our directors and officers serve on the boards of our strategic partners, such directors may be required to abstain from board decision-making in the event of a conflict of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conducted and may continue to conduct, clinical trials for our product candidates outside of the United States, and we may do so for our other product candidates. However, conducting trials outside of the United States exposes us to additional risks, which could materially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conducted, and may in the future conduct, certain of our clinical trials at centers outside of the United States. The acceptance of study data from clinical trials conducted outside the United States or another jurisdiction by the FDA or another comparable foreign regulatory authority may be subject to certain conditions or may not be accepted at all. For example,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 conducted outside for the United States or the applicable jurisdiction, and the FDA has discussed proposals to increase user fees for marketing applications containing certain foreign clinical data. If the FDA, the EMA, the U.K. Medicines and Healthcare products Regulatory Agency, or other foreign regulatory authorities do not accept any data generated from other jurisdictions, we would likely be required to conduct additional clinical trials, which would be costly and time consuming, and delay aspects of our development plan, which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trials outside the United States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or delays in our trials resulting from geopolitical events, such as war or terrorism.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information systems or data, or those of third parties with whom we work, are or were compromised, we could experience adverse consequences from such compromises, such as damage to our reputation, significant financial and legal exposure, or other adverse effects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information technology systems that we or third parties with whom we work, operate to process, transmit and store electronic information, including sensitive information, in our day-to-day operations. For example, in connection with our product development efforts, we may collect and process a variety of personal data, proprietary information, trade secrets, and clinical trial information. As a result, we and the third parties with whom we work, face a variety of evolving threats that could cause cybersecurity incidents, data breaches, or other adverse security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could result in the theft or destruction of intellectual property, personal data, or other misappropriation of assets, or otherwise threaten to compromise our confidential or proprietary information and disrupt our operations. Attempts to disrupt or gain unauthorized access to our and our third-party vendors’ information systems from malicious third parties or insider threats may incorporate widely varying and frequently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changing tactics, which may be enhanced or facilitated by artificial intelligence (“AI”). Such threats are increasing in their frequency, sophistication, and intensity, have become increasingly difficult to detect, and come from a variety of sources, including traditional computer “hackers,” threat actors, “hacktivists,” organized criminal threat actors, intentional or inadvertent wrongful conduct by personnel and vendors (such as through human error,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wrongful conduct by hostile foreign governments and industrial espionage.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the deployment of harmful malware (including as a result of advanced persistent threat intrusions), ransomware, denial-of-service, credential stuffing, credential harvesting, social engineering fraud (including through deep fakes, which may be increasingly more difficult to identify as fake, and phishing attacks), malicious code (such as viruses and worms), personnel misconduct or error, ransomware attacks, supply-chain attacks, software bugs, server malfunctions, software or hardware failures, loss of data or other information technology assets, adware, attacks enhanced or facilitated by evolving technologies, such as AI, telecommunications failures, earthquakes, fires, floods, and other similar threats.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there can be no assurance that our efforts will prevent information cybersecurity incidents or data breaches that would result in business, legal, financial or reputational harm to us, or would have a material adverse effect on our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or other constraints not found during due diligence of such acquired or integrated entities, creating additional challenges to integrate said information systems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Like other companies in our industry, we, and our third party vendors, have experienced threats and cybersecurity incidents relating to our information technology systems and infrastructure. While we have implemented security measures designed to protect against cybersecurity incidents and data breaches, there can be no assurance that these measures will be effective. We take steps designed to detect, mitigate, and remediate known vulnerabilities in our information systems (such as our hardware and/or software, including that of third parties with whom we work). We may not, however, detect and remediate all such vulnerabilities on a timely basis for various reasons including but not limited to the impact on the functional operations of affected information systems or the availability of a solution for the impacted technology. While remedial measures and/or patches designed to address identified vulnerabilities are being developed and/or implemented, these vulnerabilities could be exploited and result in a cybersecurity incident or data breach.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including affected individuals, customers, regulators, and investors, of cybersecurity incidents and data breaches. Such disclosures are costly, and the disclosure or the failure to comply with such requirements could lead to adverse consequences. Additionally, laws in all 50 states require businesses to provide notice to customers whose personal data has been disclosed as a result of a data breach. These laws are not consistent, and compliance in the event of a widespread cybersecurity incident or data breach is difficult and may be costly. We also may be contractually required to notify patients or other counterparties of a cybersecurity incident or data breach. Although we may have contractual protections with our service providers, any actual or perceived cybersecurity incident or data breach could harm our reputation and brand, expose us to potential liability or require us to expend significant resources on data security and in responding to any such actual or perceived cybersecurity incident or data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data has been handled in compliance with applicable privacy standards and our contractual obligations can be complex and may be subject to changing interpretation. Any failure, or perceived failure, to prevent or mitigate cybersecurity incidents, data breaches or other improper access to, use of, or disclosure of our clinical data or patients’ personal data could result in significant liability under state (e.g., state breach notification laws), federal (e.g., Health Insurance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Portability and Accountability Act of 1996), and foreign (e.g., the GDPR) laws, and may cause a material adverse impact to our reputation, affect our ability to conduct new studies and potentially disrupt our business,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maintain insurance coverage, we cannot assure that such coverage will be adequate or otherwise protect us from or adequately mitigate liabilities or damages with respect to claims, costs, expenses, litigation, fines, penalties, business loss, data loss, regulatory actions or material adverse effects arising out of our data protection, privacy, and security practices,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reliance on the computer systems of various third parties with whom we work, including our CROs and other contractors, introduce new cybersecurity risks and vulnerabilities, including supply-chain attacks, and other threats to our business operations. We rely on our third-party partners to implement effective security measures and identify and correct for any such failures, deficiencies, cybersecurity incidents or data breaches. However, our ability to monitor these third parties’ information security practices is limited, and these third parties may not have adequate information security measures in place. Any failure by such third parties to prevent or mitigate cybersecurity incidents, data breaches or other improper access to or disclosure of such information could have similarly adverse consequences for us.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experiencing a cybersecurity incident or data breach,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 previously identified or similar threats could cause a cybersecurity incident, data breach, or other interruption that could result in unauthorized, unlawful, or accidental acquisition, modification, destruction, loss, alteration, encryption, disclosure of, or access to our sensitive data or our information technology systems, or those of the third parties with whom we work. A cybersecurity incident, data breach, or other interruption could disrupt our ability (and that of third parties with whom we work) to provide our services.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Government Regulatory and Legal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SEC and other U.S. government agencies caused reduction in staffing, by funding shortages or global health concerns could hinder their ability to hire, retain or deploy key leadership and other personnel, or otherwise prevent new or modified products from being developed, approved or commercialized in a timely manner or at all, or otherwise prevent those agencies from performing normal business functions on which the operation of business may relay,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agencies in the U.S., including the FDA, the SEC and other comparable regulatory authorities, operate pursuant to annual appropriations and other political and budgetary processes, and may from time to time be subject to continuing resolutions, funding lapses, or other fiscal constraints. Currently, although the FDA and many other federal agencies have funding sufficient to continue their activities through September 30, 2026, the timing and amount of future funding is unpredictable. Without appropriation of sufficient funding to federal agencies, our business operations related to our product development activities for the U.S. market could be impacted. The ability of the FDA, EMA, and other comparable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of these factors.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the SEC and other agencies, including as a result of substantial leadership changes, personnel cuts, policy changes or otherwise, may also slow the time necessary for new drugs to be reviewed and/or approved by necessary government agencies, which would adversely affect our business. Changes and cuts in FDA staffing have been reported by some in the pharmaceutical industry as creating delays in the FDA’s responsiveness or in its ability to review submissions or applications, issue regulations or guidance, or implement or enforce regulatory requirements in a timely fashion or at all. Also, state governments may seek to address or react to changes at the federal level with changes to their regulatory frameworks in a manner that could impact our operations.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 the last several years, including from October 1, 2025 to November 12, 2025, the U.S. government shut down several times and certain regulatory agencies, such as the FDA and the SEC, have had to furlough critical employees and cease critical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prolonged government shutdown occurs again, or a widespread freeze on federal funding occurs in the future or if global health concerns or staffing changes prevent the FDA, SEC, EMA, or other comparable foreign regulatory authorities from conducting their regular inspections, reviews, or other regulatory activities, including formal and informal interactions with product developers, it could significantly impact the ability of the FDA, SEC, EMA, or other such comparable foreign regulatory authorities to timely review and process our regulatory submissions, which could have a material adverse effect on our business. Further, in our operations as a public company, future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obtain orphan drug designation or exclusivity for our product candidates for which we seek such a designation or exclusivity, and even if we do, that designation may not provide an expedited development or regulatory review or approval process and any orphan drug exclusivity we may receive for approved products may not prevent the FDA or the EMA from approving other competing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intended to treat a rare disease or condition. A similar regulatory scheme governs the designation of orphan product candidates by the EMA in the EU.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authorization application for another similar product candidate for the same orphan therapeutic indication for that time period. The applicable period is seven years in the United States and ten years in the EU (which can be extended to 12 years if the sponsor complies with an agreed-upon pediatric investigation plan). The exclusivity period in the EU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for the FDA to grant orphan drug exclusivity to one of our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Hypoparathyroidism is a disease that affects approximately 70,000 individuals in the United States, and accordingly, any product candidate we advance forward in development for hypoparathyroidism may qualify for orphan drug designation. However, the FDA may conclude that the condition or disease for which we seek orphan drug exclusivity does not meet this standard.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or the EMA can subsequently approve the same product candidate for the same condition if the FDA or EMA (as applicable)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While we may in the future seek designations for our product candidates with the FDA, EMA and other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and other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and a Fast Track Designation does not make approval more likely to occur. The FDA may rescind the Fast Track Designation if it believes that the designation is no longer supported by data from our clinical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 we may seek to participate in the PRIority MEdicines (“PRIME”) scheme for our potential product candidates. The PRIME scheme is intended to encourage development of product candidates in areas of unmet medical need and provides accelerated assessment of product candidates representing substantial innovation, where the marketing authorization application will be made through the centralized procedure in the EU. Eligible products must target conditions for which there is an unmet medical need (i.e. no treatment option exists in the EU or the applicable product candidate can offer a major therapeutic advantage over existing treatments). Many benefits accrue to sponsors of product candidates with access to the PRIME scheme, including but not limited to, early and proactive regulatory dialogue with the EMA, frequent discussions on clinical trial designs and other development program elements, and the possibility of accelerated assessment of a marketing authorization application once a dossier has been submitted. There is no guarantee, however, that our potential product candidate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Where appropriate, we may secure approval from the FDA, EMA, or other comparable foreign regulatory authorities through the use of expedited approval pathways, such as accelerated approval.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EMA, or other comparable foreign regulatory authorities, if our confirmatory trials do not verify clinical benefit, or if we do not comply with rigorous post-marketing requirements, the FDA, EMA, or other comparable foreign regulatory authorities may seek to withdraw the accelerated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our one or more of our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seeking accelerated approval, we would seek feedback from the FDA, EMA, or other comparable foreign regulatory authorities and would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other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stringent and evolving U.S. and foreign laws, rules, regulations, policies, industry standards, contractual requirements, and other obligations related to data protection, privacy, and security. Our actual or perceived failure to comply with such obligations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various data protection, privacy, and security laws, rules, regulations, policies, industry standards, contractual requirements, and other obligations that apply to our collection, transmission, storage, use, disclosure, transfer, maintenance and other processing of sensitive information, including personal data. The legislative and regulatory landscape for data protection, privacy, and security continues to evolve across jurisdictions worldwide. For example, in the United States, federal, state, and local governments have enacted numerous data protection, privacy, and security laws, including data breach notification laws, personal data privacy laws, consumer protection laws (e.g., Section 5 of the Federal Trade Commission Act), and other similar laws (e.g., wiretapping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federal level, regulations promulgated pursuant to the Health Insurance Portability and Accountability Act of 1996 (“HIPAA”), as amended by the Health Information Technology for Economic and Clinical Health Act, and implementing regulations, establish stringent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Further,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and data sharing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Data protection, privacy, and security obligations remain an evolving landscape at both the domestic and foreign level, with new laws, rules and regulations coming into effect, posing continued legal and compliance challenges. For example, as of January 2026, twenty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targeted advertising, profiling, and automated decision-making. The exercise of these rights may impact our business and ability to conduct our operations.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as amended by the California Privacy Rights Act (collectively, “CCPA”), provides for fines of up to $7,500 per intentional violation and allows privacy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existence of comprehensive privacy laws in different states adds additional complexity, variation in requirements, processing restrictions and potential legal risk, requiring additional investment of resources in our compliance programs. These laws may also impact our business strategies, result in increased compliance costs and/or changes to our business practices and policies and increase the likelihood that we may be subject to enforcement actions or otherwise incur liability for noncompliance.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states are also specifically regulating consumer health information. For example, Washington has enacted a consumer health privacy law, the My Health My Data Act (“WMHMDA”), which went into effect on March 31, 2024 and regulates the collection and sharing of consumer health information. WMHMDA places restrictions on processing consumer health data (including imposing stringent requirements for consents), provides consumers certain rights with respect to their health data, and creates a private right of action to allow individuals to sue for violations of the law,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including Illinois and Texas,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new comprehensive federal data privacy laws to which we could become subject to, if enacted.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protection, privacy, and security. For example, if we conduct clinical trials in the European Economic Area (“EEA”) and/or the United Kingdom (“U.K.”), we may become subject to additional privacy laws in those jurisdictions, such as the EU General Data Protection Regulation (“EU GDPR”) and the EU GDPR as incorporated into the laws of the U.K (“U.K. GDPR” and, together with the EU GDPR, “GDPR”), both of which impose strict requirements for processing personal data. The GDPR is wide-ranging in scope and imposes numerous requirements on companies that process personal data, including requirements relating to having a legal basis or condition for processing personal data, stricter requirements relating to the processing of sensitive data (such as health data), where required by the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GDPR, data protection authorities may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Non-compliance could also result in the imposition of orders to stop data processing activities, which could have a material adverse effect on our business, financial position,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be unable to transfer personal data from the EEA, U.K., and other jurisdictions to the U.S. or other countries due to data localization requirements or limitations on cross-border data flows. Although there are various mechanisms that may be used in some cases to lawfully transfer personal data to the U.S. or other countries, these mechanisms are subject to legal challenges and may not always be available to us. For example, the GDPR requires certain adequate safeguards to enable the transfer of personal data outside of the EEA or the U.K., in particular to the U.S., such as the EU standard contractual clauses, U.K. International Data Transfer Addendum/Agreement, and the EU-U.S. Data Privacy Framework (“Framework”) and the U.K. extension thereto (which allows for transfers to relevant U.S.-based organizations who self-certify compliance and participate in the Framework). However,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Although the U.K. is regarded as a third country under the EU GDPR, the European Commission has issued a decision recognizing the U.K. as providing adequate protection under the EU GDPR, or the Adequacy Decision, and, therefore, transfers of personal data originating in the EEA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“DUAA”) on June 19, 2025.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if we fail, or are perceived to have failed, to comply with applicable data protection, privacy, and security laws, including applicable HIPAA privacy and security standards, we could face significant administrative, civil and criminal penalties. For example, HHS has the discretion to impose significant penalties,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data protection, privacy, or security of the personal data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rely on certain third-party vendors to process certain confidential, sensitive, or personal data on our behalf. Failure by us or our third-party vendors to comply with any of these laws, rules, regulations, contractual requirements, industry standards, or other obligations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employees and personnel use generative artificial intelligence technologies to perform their work, and the disclosure and use of personal data in generative artificial intelligence technologies is subject to various privacy laws and other privacy obligations.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third-party vendors, may use and integrate AI into our business processes both in our own development and implementation of AI as well as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use solutions that draw controversy due to perceived or actual negative societal impact, we may also experience brand or reputational harm, competitive harm or legal liability.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Europe began implementing its EU Artificial Intelligence Act (“AI Act”) in August 2024, with a significant part of the law scheduled to come into effect in August 2026. As currently enacted, the AI Act, which may be amended as part of the EU’s Digital Omnibus, imposes significant obligations on providers and deployers of AI systems,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 AI regulatory environment is complex and uncertain. Over the past year, states have advanced, and in some cases passed, dozens of laws focusing on AI governance and regulation, including on deployment of AI in healthcare settings. At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level, the current administration has endorsed a federal moratorium on the enforcement of state AI laws, including through a December 2025 executive order titled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these compliance and operational requirements impose significant costs, such as costs related to organizational changes, implementing additional protection technologies, training employees and engaging consultants and legal advisors, which are likely to increase over time. Our efforts to comply with the evolving data protection, privacy, AI and security laws, rules, regulations, and other obligations may be unsuccessful. We may need to devote significant resources to understanding and complying with this changing landscape. In addition, such requirements may require us to modify our data processing practices and policies, utilize management’s time and/or divert resources from other initiatives and projects. Any actual or perceived failure by us or our third-party partners to comply with such laws, rules, regulations, and other obligations regarding data protection, privacy, AI and security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Further, any of the foregoing could have a material adverse effect on our business, financial condition, results of operations or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hardware, software, data and cloud computing platforms that we rely on may not continue to be available at reasonable prices, on commercially reasonable terms or at all. Any loss of the right to use any of these hardware, software, data or cloud computing platforms could significantly increase our expenses and disrupt or otherwise result in delays in the provisioning of our services until equivalent technology is either developed by us, or, if available, is identified, obtained through purchase or license and integrated into our services, and no assurance can be provided that such equivalent technology would be developed or obtained in a timely manner or at all. Moreover, as a result of the increasing use and deployment of AI technologies, infrastructure capacity requirements, including network capacity and computing power and energy requirements, may increase which could lead to an increase in serve interruptions we experience.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For more information, see the section titled “Business–Government Regulation–Current and Future U.S. 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2010, the Patient Protection and Affordable Care Act, as amended by the Health Care and Education Reconciliation Act was passed, which substantially changed the way healthcare is financed by both the government and private insurers, and significantly impacts the U.S. pharmaceutical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any of our product candidates, if approved;</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set a price that we believe is fair for any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and biologic products. 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2022, the Inflation Reduction Act of 2022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For more information, see the section titled “Business–Government Regulation–Other Healthcare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breadth of these laws and the limited statutory exceptions and regulatory safe harbors available, it is possible that some of our business activities could be subject to challenge under one or more of such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oversight if we become subject to a corporate integrity agreement or similar agreement to resolve allegations of non-compliance with these laws and the curtailment or restructuring of our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Legislation or other changes in U.S. tax law may have a material adverse effect on our business, cash flow,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For example, the One Big Beautiful Bill Act (“H.R.1”) was signed into law on July 4, 2025 and made significant changes to U.S. federal tax law. Changes to tax laws (which changes may have retroactive application)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H.R.1 provides that for taxable years beginning after December 31, 2024, expenses that are incurred for research and development performed in the U.S. may, at the taxpayer’s election, be immediately deducted or capitalized and amortized. In addition, H.R.1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have been made to applicable tax laws and changes are likely to continue to occur in the future. Future changes in tax laws could have a material adverse effect on our business, cash flow,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decline in the federal budget, changes in spending or budgetary priorities of the U.S. government, a prolonged U.S. government shutdown or delays in contract awards may significantly and adversely affect our future revenues, cash flow and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the past,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U.S. Congress, the current administration, or any new administration may make substantial changes to fiscal, tax, and other federal policies that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start of the current administration in 2025, U.S. policy changes have been implemented at a rapid pace and additional changes are likely. Changes to U.S. policy implemented by the U.S. Congress and the current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hinder our ability to compete in certain markets. We can face criminal liability and other serious consequences for violations, which can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are subject to U.S. and foreign anti-corruption, anti-money laundering, export control, sanctions and other trade laws and regulations. Anti-corruption laws generally prohibit us and our employees, officers, CROs, consultants, contractors and other partners and agents from authorizing, promising, offering, providing, soliciting, or receiving, directly or indirectly, corrupt or improper payments or anything else of value to or from recipients in the public or private sector. We have direct or indirect interactions with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subject to U.S. and foreign export controls, trade sanctions, and import laws and regulations. Such laws may prevent or prohibit the export or provision of certain products and services to countries, governments, and persons targeted by sanctions. Violations of these above laws can result in substantial criminal fines and civil penalties, imprisonment, the loss of trade privileges, debarment, breach of contract and fraud litigation, reputational harm and other consequences.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Risks Related to Third Party Relationships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rely on, and may continue to depend on, collaborations with third parties for the discovery, development and commercialization of our product candidates. If any of these collaborations are not successful, we may not be able to capitalize on the market potential of those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third-party collaborator for research, development and commercialization of some of our product candidates, and we may seek third-party collaborators in the future. Pharmaceutical companies are our prior and likely future collaborators for any marketing, distribution, development, licensing or broader collaboration arrangements. If we fail to maintain our existing collaborations or fail to enter into future collaborations on commercially reasonable terms, or at all, or if such collaborations are not successful, we may not be able to execute our strategy to develop certain targets, product candidates or disease areas that we believe could benefit from the resources of either larger pharmaceutical companies or those specialized in a particular area of relevance.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 May 2025, we entered into the Collaboration Agreement with Novo. Under the Novo Collaboration Agreement, we and Novo are exclusively collaborating to leverage our proprietary Native Complex Platform® to discover, develop and commercialize multiple potential oral small molecule therapies for metabolic-related diseases based on certain specified molecular targets. The collaboration objective is to discover and develop several novel mono-, dual-, or triple-acting oral small molecule drug candidates directed across five Collaboration Targets. The collaboration includes our most advanced preclinical metabolic program focused on developing an oral small molecule agonist to the GIP receptor. We and Novo have initially commenced four simultaneous research and development programs, with each pursuing one or more Collaboration Targets from discovery through development candidate selection. Failure by Novo to meet its obligations under the Novo Collaboration Agreement, to apply sufficient efforts at developing and commercializing licensed products, or to comply with applicable legal or regulatory requirements, may materially adversely affect our business and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respect to our collaboration agreements, we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involving our product candidates may pose the following risks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studies or clinical trial results, changes in the collaborators’ strategic focus or available funding, or external factors such as an acquisition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foregoing, our existing collaboration or any future collaboration agreements may not lead to development or commercialization of our product candidates in the most efficient manner or at all. If a current or future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any current or future collaboration agreements could have a material and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to the extent that any of our current or future collaborators were to terminate a collaboration agreement, we may be forced to independently develop these product candidates, including funding preclinical studies or clinical trials, assuming marketing and distribution costs and defending intellectual property rights, or, in certain instances, abandon product candidates altogether, any of which could result in a change to our business plan and have a material adverse effect on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on third-party manufacturers, CROs, CMOs, and suppliers to supply, develop and test components of our product candidates. The loss of our third-party manufacturers, CROs, CMOs, or suppliers, their failure to comply with applicable regulatory requirements or to supply sufficient quantities at acceptable quality levels or prices, or at all, or changes in methods of product candidate manufacturing, development or formulation would materially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own or operate facilities for drug manufacturing, storage, distribution or quality testing. We currently rely, and may continue to rely, on third-party contract manufacturers, including in China, to manufacture and test bulk drug substances, drug products, raw materials, samples, components, or other materials and reports. Reliance on third-party manufacturers may expose us to different risks than if we were to manufacture product candidates ourselves. There can be no assurance that our preclinical and clinical development product supplies will not be limited, interrupted, terminated or of satisfactory quality or continue to be available at acceptable prices. In addition, any replacement of our manufacturer could require significant effort and expertise because there may be a limited number of qualified replacements.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for a product candidate is subject to FDA, EMA and foreign regulatory authority review. In some cases, we, and our suppliers and manufacturers, some of which may be our sole source of supply, must meet applicable manufacturing requirements and undergo rigorous facility and process validation tests required by regulatory authorities in order to comply with regulatory standards, such as cGMPs. Securing marketing approval also requires the submission of information about the product manufacturing process to, and inspection of manufacturing facilities by, the FDA, EMA, and other comparable foreign regulatory authorities. If our contract manufacturers cannot successfully manufacture material that conforms to our specifications and the strict regulatory requirements of the FDA, EMA, and other comparable foreign regulatory authorities, we may not be able to rely on their manufacturing facilities for the manufacture of elements of our product candidates. Moreover, we do not control the manufacturing process at our contract manufacturers and are completely dependent on them for compliance with current regulatory requirements. In the event that any of our manufacturers fails to comply with such requirements or to perform its obligations in relation to quality, timing or otherwise, or if our supply of components or other materials becomes limited or interrupted for other reasons, we may be forced to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to another third party.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would increase our reliance on such manufacturer or require us to obtain a license from such manufacturer in order to enable us, or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The delays associated with the verification of a new manufacturer could negatively affect our ability to develop product candidates in a timely manner or within budget.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status acceptable to the FDA or foreign regulatory authorities could adversely affect our business in a number of ways,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in the progress on certain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the cooperation of existing or future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subjecting third-party manufacturing facilities to additional inspections by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therapeutics.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our contract manufacturers may experience manufacturing difficulties due to resource constraints or as a result of labor disputes or unstable political environments. If our contract manufacturers were to encounter any of these difficulties, our ability to provide our product candidates to patients in preclinical and clinical trials, or to provide product for treatment of patients once approved, would be jeopardized.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currently rely on foreign CROs and CMOs, including WuXi AppTec (Hong Kong) Limited, for manufacturing and development activities and will likely continue to rely on foreign CROs and CMOs in the future. Foreign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the BIOSECURE Act passed in December 2025 prohibits U.S. federal agencies from entering into or renewing a contract with any company that uses biotechnology equipment or services produced or provided by a “biotechnology company of concern” in the performance of that contract. It also prohibits loans or grant funding from U.S. federal agencies to entities that use any biotechnology equipment or services produced or provided by a “biotechnology company of concern” in the performance of the government grant or loan. As the BIOSECURE Act is recently enacted, the full effects on our industry is unknown; however, it could have the downstream effect of restricting the ability of pharmaceutical companies that enter into contracts with or receive funding from U.S. federal agencies from purchasing services or equipment from certain Chinese biotechnology companies, including those that are specifically named in the proposed BIOSECURE Act, as well as supply chain disruptions or delays. As passed in December 2025, the BIOSECURE Act does not currently name WuXi Biologics or WuXi AppTec as “biotechnology companies of concern,” but treats any company on the Department of Defense “1260H list” (named after Section 1260H of the NDAA for Fiscal Year 2021) of “Chinese military companies” as a “biotechnology company of concern.” By December 18, 2026, the Director of the Office of Management and Budget (“OMB”) will publish a full list of “biotechnology companies of concern” based on recommendations from key federal Secretaries and Directors, including Defense, Justice, HHS, Commerce, National Intelligence, Homeland Security, State, and National Cyber. The Director of OMB will thereafter review and update that list at least annually, based on recommendations from those key federal Secretaries and Directors. To the extent WuXi Biologics, WuXi AppTec or other contractors we use are named as “biotechnology companies of concern” or if we have an existing contract with a company subsequently added to the “biotechnology companies of concern,” a grandfathering provision contained within the BIOSECURE Act may allow us adequate time to identify and execute agreements with alternative contractors if necessary (although there is no guarantee the terms under which we would engaged an alternative contractor would be favorable or how the government implements the BIOSECURE Act). Depending on how the BIOSECURE Act is interpreted by U.S. federal agencies, and whether the BIOSECURE Act is subsequently amended, we could be potentially restricted from pursuing U.S. federal government business or government reimbursement for our products in the future if we continue to use WuXi Biologics, WuXi AppTec or other suppliers or partners identified as “biotechnology companies of concern” beyond this grandfathering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BIOSECURE Act, any additional executive action, legislative action, or potential sanctions with China could materially impact our work with WuXi STA.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the pharmaceutical industry in China is strictly regulated by the Chinese government. Changes to Chinese regulations or government policies affecting 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U.S. and the United Kingdom, or U.K., could also negatively impact our ability to manufacture our product candidates for our planned clinical trials or have an adverse effect on our ability to secure government funding, which could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adversely affect our financial condition and cause us to delay our clinical development programs. Any of the foregoing factors could have a material adverse effect on our business, results of operations, or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entered into a collaboration agreement, and may in the future enter into additional collaboration agreements and strategic alliances to maximize the potential of our structure-based drug discovery platform and product candidates, and we may not realize the anticipated benefits of such collaborations or alliances. We expect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 of our business strategy is to explore additional collaborations with third parties to further utilize our platform capabilities on additional novel GPCR targets and to leverage partners additional disease biology understanding, development and commercial expertise, regional insights or other complementary capabilities to existing or future Septerna programs. We have therefore entered into the Novo Collaboration Agreement and may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that we may develop.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collaborations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 and may not commit sufficient efforts and resources, or may misapply those efforts and resources causing delays or termination of the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provide insufficient resources to, or modify or stop clinical trials for collaboration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develop or acquire products outside of the collaboration that compete directly or indirectly with our products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and personnel to pursue further development or commercialization of our structure-based drug discovery platform or the applicable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may not have the exclusive right to commercialize such intellectual property.</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could face significant competition in seeking appropriate strategic partners and the negotiation process is time-consuming, expensive,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their desired safety and efficacy profile.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additional agreements on certain terms or at all with other potential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these risks, we may not be able to realize the benefit of any future collaborations or licensing agreements we may enter into. In addition, we may face regulatory obstacles in completing such transactions.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sometimes collaborate with academic institutions to accelerate our preclinical research or development under written agreements with these institutions. If collaborations occur, these institutions often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require specific constituents to work effectively and efficiently, and rights to those constituents are, and in the future may be, held by others. We may also seek to in-license third-party technologies to enhance our Native Complex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manufacturing of our product candidates is complex, and our third-party manufacturers may encounter difficulties in production. If we or any of our third-party manufacturers encounter such difficulties, our ability to provide supply of our product candidates for clinical trials, our ability to obtain marketing approval, or our ability to provide patients supply of our products, if approved, could be delayed or stopped.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process of manufacturing pharmaceuticals is complex, time-consuming, highly regulated and subject to multiple risks. Our contract manufacturers must comply with legal requirements, cGMPs and guidelines for the manufacturing of pharmaceuticals used in clinical trials and, if approved, marketed products. Our contract manufacturers may have limited experience in the manufacturing of cGMP batches.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pharmaceuticals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cGMPs, lot consistency and timely availability of raw materials. Even if we or our future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 of the product or to meet potential future demand. If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Scaling up a pharmaceutical manufacturing process is a difficult and uncertain task, and our third-party manufacturers may not have the necessary capabilities to complete the implementation, manufacturing and development process. If we are unable to adequately validate or scale-up the manufacturing process at our current manufacturers’ facilities,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assure that any stability or other issues relating to the manufacture of any of our product candidates will not occur in the future. If our third-party manufacturers were to encounter any of these difficulties,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prospects, financial condition and results of operations. Regional or single-source dependencies may in some cases accentuate these risks. For example, the pharmaceutical industry generally, and in some instances our Company,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 between the United States and China, including as a result of the escalation of tariffs or other trade restrictions, the BIOSECURE Act or the enactment of new laws that limit our ability to freely contract for goods or services.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part of our process development efforts, we also may make changes to the manufacturing processes at various points during development, for various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clinical trials. In some circumstances, changes in the manufacturing process may require us to perform </w:t>
      </w:r>
      <w:r>
        <w:rPr>
          <w:rFonts w:ascii="Times New Roman" w:hAnsi="Times New Roman"/>
          <w:i/>
          <w:color w:val="000000"/>
          <w:sz w:val="20"/>
        </w:rPr>
        <w:t>ex vivo</w:t>
      </w:r>
      <w:r>
        <w:rPr>
          <w:rFonts w:ascii="Times New Roman" w:hAnsi="Times New Roman"/>
          <w:color w:val="000000"/>
          <w:sz w:val="20"/>
        </w:rPr>
        <w:t xml:space="preserve">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intend to rely on third parties to conduct, supervise and monitor our preclinical studies and clinical trials, and if those third parties perform in an unsatisfactory manner, it may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have the ability to independently conduct preclinical studies or clinical trials required to develop our product candidates. We intend to rely on CROs, clinical trial sites and other third parties to ensure the proper and timely conduct of our preclinical studies and clinical trials, and we expect to have limited influence over their actual performance. We intend to rely upon CROs and others for the execution of future nonclinical studies and to monitor, manage and report data for our clinical trials. We expect to control only certain aspects of our CROs’ and others’ activities. Nevertheless, we will be responsible for ensuring that each of our preclinical studies or clinical trials are conducted in accordance with the applicable protocol, legal, regulatory and scientific standards and our reliance on the CROs and others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our CROs and other third parties we might engage will be required to comply with good laboratory practices (“GLPs”) and GCPs, which are regulations and guidelines enforced by the FDA, EMA, and other comparable foreign regulatory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and others to conduct GCP-compliant clinical trials, we remain responsible for ensuring that each of our GLP preclinical studies and clinical trials is conducted in accordance with its investigational plan and protocol and applicable laws and regulations, and our reliance on the CROs and others does not relieve us of our regulatory responsibilities. If we, our CROs and other third parties we engage fail to comply with GCPs, the clinical data generated in our clinical trials may be deemed unreliable and the FDA, EMA, or other comparable foreign regulatory authorities may require us to perform additional clinical trials before approving our marketing applications. Accordingly, if our CROs or others fail to comply with these regulations or fail to recruit a sufficient number of participants, we may be required to repeat clinical trials, which would delay the regulatory approval process.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will have agreements governing their activities, our CROs and other third parties we engage will not be our employees, and we will not control whether or not they devote sufficient time and resources to our future nonclinical and clinical programs. These CROs and others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and others, which may reduce our trade secret protection and allow our potential competitors to access and exploit our proprietary technology. In addition, certain of our agreements with CROs and other third parties currently or will provide for monetary and other limitations on their liability. If our CROs do not successfully carry out their contractual duties or obligations, fail to meet expected deadlines, or if the quality or accuracy of the preclinical or clinical data they obtain is compromised due to the failure to adhere to our protocols or regulatory requirements or for any other reasons, our preclinical or clinical programs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decreased or eliminated.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development timelines. Though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depend and in the future may continue to depend on single- or limited-source suppliers for some of the components and materials used in the product candidates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depend and in the future may continue to depend on single- or limited-source suppliers for some of the components and materials used in any product candidates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or at all.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product candidates.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maintain, defend and enforce patent or other intellectual property protection for our current or any future product candidates, or if the scope of the patent protection obtained is not sufficiently broad, we may not be able to compete effectively in our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we will file additional patent applications both in the United States and in other jurisdictions, as appropriate. However, we cannot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and when any patents will issue;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and scope of protection any issued patents will afford us against competitors, including whether third parties will find ways to invalidate or otherwise circumvent our patents;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others will apply for or obtain patents claiming aspects similar to those covered by our patents and patent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will need to initiate litigation or administrative proceedings to defend our patent rights, which may be costly whether we win or lose;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patent applications that we own, or may in-license, will result in issued patents with claims that cover our product candidates or uses thereof in the United States or in foreign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and may in the future rely, upon a combination of patent, trade secret and trademark protection for our current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our current and any future product candidates and other proprietary technologies we may develop. Our commercial success depends in large part on our ability to obtain and maintain patent protection in the United States and other jurisdictions with respect to our current and any future product candidates. We seek to protect our proprietary position by filing patent applications in the United States and abroad related to our current and future development programs and product candidates. The patent prosecution process is expensive and time-consuming, and we may not be able to file and prosecute all necessary or desirable patent applications at a reasonable cost or in a timely manner, including as a result of factors impacting our, our licensors’ or governmental patent offices’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we will fail to identify patentable aspects of our research and development output before it is too late to obtain patent protection. The patent applications that we own or in-license may fail to result in issued patents with claims that cover our current or any future product candidates in the United States or in foreign jurisdictions. There is no assurance that all of the potentially relevant prior art relating to our patents and patent applications has been or will be found, which unknown prior art can invalidate a patent or prevent a patent from issuing from a pending patent application. Even if patents do issue and even if such patents cover our current or any future product candidates, third parties may challenge their scope, validity, or enforceability,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patent applications we hold or have in-licensed with respect to our product candidates fail to issue, if their breadth or strength of protection is threatened, or if they fail to provide meaningful exclusivity for current or any future product candidates, it could dissuade companies from collaborating with us to develop product candidates, and threaten our ability to commercialize, future drug products. Any such outcome could have a negative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Composition of matter patents for pharmaceutical products provide intellectual property protection for those types of products, as such patents provide protection without regard to any method of use. We cannot be certain, however, that the claims in our pending patent applications covering the composition of matter of any of our product candidates will be considered patentable by the USPTO, or by patent offices in foreign jurisdictions, or that the claims in any of our patents that may issue will be considered valid and enforceable by courts in the United States or foreign jurisdictions. Method of use patents protect the use of a product for the specified method. We cannot be certain, however, that the claims in our pending patent applications covering methods of use of our product candidates will be considered patentable by the USPTO, or by patent offices in foreign jurisdictions, or that the claims in any of our patents that may issue will be considered valid and enforceable by courts in the United States or foreign jurisdictions. Further,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once approved for therapeutic use by FDA. or counterpart foreign regulatory authorities,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enforce against.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Patent applications in the United States and certain other jurisdictions are typically not published until 18 months after filing, or in some cases not at all. Therefore, we cannot know with certainty whether we were the first to file for patent protection.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or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and other jurisdictions may diminish the value of our patents or narrow the scope of our patent protection. These changes could increase the uncertainties and costs surrounding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prosecution of our patent applications and the enforcement or defense of our issued patents, all of which could have a negative effect on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to the USPTO or another patent office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(“IPR”), post-grant review (“PGR”)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or obtaining a costly license from a third party. In addition, if the breadth or strength of protection provided by our patents and patent applications is threatened, it could dissuade companies from collaborating with us to license, develop or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licensed patents may be challenged in the courts or patent offices in the United States and abroad.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products or methods, or limit the duration of the patent protection of our technology, products or methods.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claims, but instead only to claims that read on the product as approved. Laws governing analogous patent term 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In addition, although upon issuance in the United States a patent’s term can be increased based on certain delays caused by the USPTO, this increase can be reduced or eliminated based on certain delays caused by the patent applicant during patent prosecution. Without patent protection for our product candidates, including once the patent life has expired even if patents covering our product candidates are obtained, we may be open to competition from generic versions of such drugs. Given the amount of time required for the development, testing and regulatory review of new product candidates, patents protecting such candidates might expire before or shortly after such candidates are commercialized. Even if patents covering our product candidates are obtained, once the patent term has expired for a product, we may be open to competition from generic medications. As a result, our owned and licensed patent portfolio may not provide us with sufficient rights to exclude others from commercializing drugs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have or obtain patents covering our products or methods, we may still be barred from making, using and selling such products or methods because of the patent rights of others. Others may have filed, and in the future may file, patent applications covering compositions, products or methods that are similar or identical to ours, which could materially affect our ability to successfully develop our technology or to successfully commercialize any approved products alone or with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in the United States and elsewhere are generally published approximately 18 months after the earliest filing for which priority is claimed, with such earliest filing date being commonly referred to as the priority date. Therefore, patent applications covering our methods and product candidates could have been filed by others without our knowledge. Additionally, pending claims in patent applications which have been published can, subject to certain limitations, be later amended in a manner that could cover our platform technologies or related products. These patent applications may have priority over patent applications filed by us.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owned or in-licensed patents, trade secrets or other intellectual property as an inventor, co-inventor, owner or co-owner. For example, we or our licensors may have inventorship or ownership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and other proprietary technologies we may develop will not infringe existing or future patents owned by third parties. Third parties may assert infringement claims against us based on existing or future intellectual property rights. In the United States, proving invalidity in court requires a showing of clear and convincing evidence to overcome the presumption of validity enjoyed by issued patents. 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investigational products or force us to cease some of our business operations, which could materially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aware of patents that have already been issued and that a third party, for example, a competitor in the fields in which we are developing our product candidates, might assert are infringed by our product candidates, including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one or more of our product candidates. In addition, because patent applications can take many years to issue, there may be currently pending patent applications that may later result in issued patents that our product candidates may infringe.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may choose to challenge the enforceability or validity of claims in a third party’s U.S. patent by requesting that the USPTO review the patent claims in an </w:t>
      </w:r>
      <w:r>
        <w:rPr>
          <w:rFonts w:ascii="Times New Roman" w:hAnsi="Times New Roman"/>
          <w:i/>
          <w:color w:val="000000"/>
          <w:sz w:val="20"/>
        </w:rPr>
        <w:t>ex parte</w:t>
      </w:r>
      <w:r>
        <w:rPr>
          <w:rFonts w:ascii="Times New Roman" w:hAnsi="Times New Roman"/>
          <w:color w:val="000000"/>
          <w:sz w:val="20"/>
        </w:rPr>
        <w:t xml:space="preserve"> re-examination, IPR or PGR proceeding.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found to infringe a third-party’s intellectual property rights, we could be forced, including by court order, to cease developing, manufacturing or commercializing the infringing product candidate or product. Alternatively, we may be required to obtain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license from such third-party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technology licensed from various third parties may be subject to retained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preclinical research or development, creating a risk that federal funds may be commingled. Therefore, we cannot be sure that any intellectual property co-developed from a collaboration with an academic institution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date of a third-party patent, which might adversely affect our ability to develop and market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aware of patents or pending or future patent applications that, if issued, would block us from commercializing our product candidates. Thus, we cannot guarantee that our product candidates, or our commercialization thereof, do not and will not infringe any third party’s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any patent searches or analyses that are performed, including the identification of relevant patents, the scope of patent claims or the expiration dates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future products.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landscape of intellectual property related to our product candidates and future products is constantly changing. Therefore,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certain other jurisdictions are confidential for typically a period of at least 18 months after their priority date, or may not be published at all, we cannot be certain that we were the first to file any patent application related to our product candidates. As a result, the issuance, scope, validity, enforceability and commercial value of our patent rights are highly uncertain.</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16, 2013, there is a greater level of uncertainty in the patent law in view of the passage of the America Invents Act, which brought into effect significant changes to the U.S. patent laws, including new procedures for challenging pending patent applications and issued patents. Should we fail to win an interference challenge, a third party may obtain rights to intellectual property related to our product candidates and future products.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license agreements in the future with others to advance our existing or future research or allow commercialization of our product candidates. These licenses may not provide exclusive rights to use such intellectual property and technology in all relevant fields of use and in all territories in which we may wish to develop or commercialize our technology platform or product candidates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future licensors fail to prosecute, maintain, enforce, and defend such patents or patent applications,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we may be unable to obtain necessary licenses at a reasonable cost or on reasonable terms, if at all. Even if we are able to obtain a license, it may be non-exclusive, thereby giving our competitors access to the same technologies licensed to us (which could have a material adverse effect on our competitive position, business, financial conditions, results of operations, and prospects). In the event we are unable to obtain necessary licenses at a reasonable cost or on reasonable terms,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future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spite of our best efforts, our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required to license technologies relating to our programs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 The inability to obtain any third-party license required to develop or commercialize any of our product candidates could cause us to abandon any related efforts, which could seriously harm our business and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license is not valid, is unenforceable and/or is not infringed. If we or our current or future collaborators were to initiate legal proceedings against a third party to enforce a patent covering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but not limited to lack of novelty, obviousness, or insufficient written description or enablement.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PGR, IPR, derivation proceedings, interference proceedings, and equivalent proceedings in foreign jurisdictions (e.g., opposition proceedings). Such proceedings could result in loss of rights to, the revocation of, cancellation of or amendment to our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patent claim. If a third party were to prevail on a legal assertion of invalidity or unenforceability, we would lose at least part, and perhaps all, of the patent protection on our product candidates or other intellectual property that we may develop. In addition, if the breadth or strength of protection provided by our patents and patent applications is threatened or questioned,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could dissuade companies from collaborating with us to license, develop or commercialize our product candidates. Such a loss of patent protection would have a material adverse impact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including confidential information, know-how or trade secrets, of a third-party, or claiming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or contractors have used or disclosed such third-party intellectual property, including know-how, trade secrets or other proprietary information, to us. Litigation may be necessary to defend against these claims. If we fail in defending any such claims, it may a have negative impact on our business and our ability to develop product candidates or commercialize our technology. In addition to paying substantial monetary damages, we may lose valuable intellectual property rights or personnel, or access to consultants and contractors. Even if we are successful in defending against such claims, litigation could incur substantial costs and be a distraction to management and scientific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license intellectual property rights from third parties. Such licenses may be subject to early termination if we fail to comply with our obligations in our licenses with third parties, which could result in the loss of rights or technology that are material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using the licensed technology. If we fail to comply with these obligations, including due to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products or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The failure to obtain or in-license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to the applicable government patent agencies. If these fees are not paid when due, our rights to such patents or patent applications may be irrevocably abandoned or otherwise materially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non-U.S. government patent agencies require compliance with numerous procedural, documentary, and other similar provisions during the patent application process. For example, many jurisdictions, including the U.S. and China, require a foreign filing license before seeking patent protection in a jurisdiction outside of the jurisdiction of which the inventor is a citizen or in which the invention was made. Each jurisdiction’s laws regarding foreign filing licenses vary and may even conflict. We employ reputable law firms in foreign jurisdictions and other professionals to help us comply and we are also dependent on any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maintaining, enforcing, and defending patent applications and patents covering our current and any future product candidates worldwide is prohibitively expensive, so we will pursue patents in a limited number of jurisdictions. Moreover, our intellectual property rights in some jurisdictions outside the United States can have a different scope and strength than do those in the United States. Consequently, we will not be able to prevent third parties from practicing our inventions in all jurisdictions, or from selling or importing in and into various jurisdictions products made using our inventions.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Further,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protecting and defending intellectual property rights in jurisdictions outside the United States. The legal systems of certain jurisdictions do not favor the enforcement of patents, trade secrets and other intellectual property rights, particularly those relating to pharmaceutical products, which could make it difficult in those jurisdictions for us to stop the infringement or misappropriation of our patents or other intellectual property rights, including the marketing of competing products in violation of our proprietary rights. Proceedings to enforce our patents and other intellectual property rights in jurisdictions outside the United States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protect and enforce our intellectual property rights may be adversely affected by unforeseen changes in intellectual property laws in the United States and around the world.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Certain jurisdictions, including China and India, have compulsory licensing laws under which a patent owner may be compelled to grant licenses to third parties under certain circumstances. In those jurisdictions, we and our licensors may have limited remedies if patents are infringed or if we or our licensors are compelled to grant a license to a third party, which could materially diminish the value of those patents. In addition, many jurisdictions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do not obtain patent term extension and data exclusivity for any product candidates we may develop, our business may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Depending upon the timing, duration and specifics of any FDA marketing approval of any product candidates we may develop and our technology, one or more U.S. patents that we license or may own in the future may be eligible for limited patent term extension under the Hatch-Waxman Amendments. Under certain circumstances the Hatch-Waxman Amendments permit a patent extension term of up to five years as compensation for patent term lost during the FDA regulatory review process. A patent term extension cannot extend the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patent term extension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we may be open earlier than projected to competition from competitive products, including generics or biosimilars following our patent expiration, and our revenue could be reduced earlier than projected. Any of the foregoing could have a material adverse effect on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Confidentiality agreements with employees and third parties may not prevent unauthorized disclosure of our trade secrets and other proprietary information. 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information and confidential know-how that we elect not to patent, including processes for which patents are difficult to enforce, and any other elements of our product candidates, technology and product discovery, development processes and drug discovery platform that involve proprietary know-how, information, or technology that is not covered by patents. In particular, our trade secrets, confidential know-how and other proprietary information includes our proprietary Native Complex Platform® drug discovery platform, which we do not plan to patent.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Such risk of disclosure can be increased by our use of AI technologies and can result in misappropriation and other security incidents.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secrets, confidential know-how and proprietary information, however, may be difficult to protect. We seek to protect our trade secrets, confidential know-how and proprietary information, including our proprietary processes and drug discovery platform,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we cannot provide any assurances that all such agreements have been duly executed, and notwithstanding the existence of a confidentiality agreement our employees, consultants, outside scientific advisors, contractors, and collaborators might intentionally or inadvertently disclose our trade secret information, including to competitors. In addition, competitors or other third 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jurisdictions do not protect proprietary rights to the same extent or in the same manner as the laws of the United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Further, although we maintain cyber liability insurance, this insurance may not provide adequate coverage against potential liabilities related to any experienced cybersecurity incident or data breach.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intellectual property rights do not necessarily protect against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or formulations that are similar to our product candidates but that are not covered by the claims of any patents, should they issue, that we own or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strategic partners might not have been the first to make the inventions covered by the issued patents or pending patent applications that we own or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file patent applications covering certain of our product candidates or inventions we own or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patent applications that we own or control may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control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jurisdictions that provide a safe harbor from patent infringement claims for certain research and development activities, as well as in jurisdictions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other jurisdictions, third parties are given an opportunity to oppose pending trademark applications and to seek to cancel registered trademarks. Opposition or cancellation proceedings may be filed against our trademarks, and our trademarks may not survive such proceedings.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trademarks or trade names or may be forced to stop using these names, which we need for name recognition by potential collaborators or customers in our markets of interest. If we are unable to establish name recognition based on our trademarks or trade names, we may not be able to compete effectively and our business may be adversely affected. We may license our trademarks or trade names to third parties, such as distributors. Though these agreements may provide guidelines for how our trademarks or trade names may be used, a breach of these agreements or misuse of our trademarks or tradenames by third parties may jeopardize our rights in or diminish the goodwill associated with our trademarks or trade names.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any name we have proposed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jurisdictions, owning and maintaining a trademark registration may not provide an adequate defense against a subsequent infringement claim asserted by the owner of a senior trademark.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Rights to improvements to our product candidates may be held by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course of testing our product candidates, we may enter into agreements with third parties to conduct clinical testing, which may provide that improvements to our product candidates may be owned solely by a third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parties, including our competitors, and our competitors could market competing products and technology. In addition, we may need the cooperation of any such co-owners of our intellectual property in order to enforce such intellectual property against other parties, and such cooperation may not be provided to us. Any of the foregoing could have a material adverse effect on our competitive position, business, financial conditions, results of operations, and prospects.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do not know whether a market will be sustained for our common stock or what the market price of our common stock will be, and, as a result, it may be difficult for you to sell your shares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listed on the Nasdaq Global Market (“Nasdaq”), an active trading market for our common stock may not be sustained. If a market for our common stock is not sustained or if trading volume in our common stock is low,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which could result in substantial losses for investors purchasing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for our common stock may be influenced by those factors discussed in this “Risk Factors” section and many others, some of which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existing or new competitive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completion and results of preclinical studies and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or delays, suspensions or terminations in future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 or the failure of a regulatory authority to accept data from preclinical studies or clinical trials conducted in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commercialize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or discontinuation of any of our development and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any preclinical studies, clinical trials or regulatory approvals of product candidates of our competitors, or announcements about new research programs or product candidates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or termination of collaborations for our product development and research programs;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expenses related to any of our research programs, clinical development programs or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 if any, that cover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variations in quarterly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industry and market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stock market in general, and the market for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sales, or the perception of future sales, of our common stock in the public market by existing stockholders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existing stockholders sell, or indicate an intention to sell, substantial amounts of our common stock in the public market, the trading price of our common stock could decline. The possibility that these sales may occur, also might make it more difficult for us to sell equity securities in the future at a time and at a price that we deem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had 44,916,572 shares of our common stock outstanding. Shares of unvested restricted stock that were issued and outstanding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or inducement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holders of our common stock have rights, subject to some conditions, to require us to file registration statements covering the sale of their shares or to include their shares in registration statements that we may file for ourselves or other stockholders. We have registered the offer and sale of all shares of common stock that we may issue under our equity compensation plans, and those shares are available for sale in the open market, unless such shares are subject to vesting restrictions with us or any applicable lock-up restrictions.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we register the offer and sale of shares for the holders of registration rights, they can be freely sold in the public market upon issuance, subject to any applicable lock-up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in the future, we may issue additional shares of our common stock, including potentially through our at-the-market offering program,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2022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(“IPO”), although circumstances could cause us to lose that status earlier, including if we are deemed to be a “large accelerated filer,” which occurs when the market value of our common stock that is held by non-affiliates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auditor attestation requirements of Section 404 of the Sarbanes-Oxley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requirements of the Public Company Accounting Oversight Board regarding the communication of critical audit matters in the auditor’s report on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disclosure obligations regarding executive compensation in our periodic reports and proxy statements;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while we are an emerging growth company, we will not be subject to the same requirements to adopt new or revised accounting standards as other public companies that are not emerging growth companies. As a result of this election, our financial statements may not be comparable to those of other public companies that comply with new or revised accounting pronouncements as of public company effective 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and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We may continue to be a smaller reporting company even after we are no longer an emerging growth company, which would allow us to take advantage of many of the same exemptions from disclosure requirements and reduced disclosure obligations regarding executive compensation in our Annual Report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is required to devote substantial time to new compliance initiatives and corporate governance practices.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have incurred and will continue to incur significant legal, accounting and other expenses that we did not incur as a private company, and these expenses may increase even more after we are no longer an “emerging growth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(“Dodd-Frank Act”) was enacted. There are significant corporate governance and executive compensation related provisions in the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Dodd-Frank Act that require the SEC to adopt additional rules and regulations in these areas such as “say on pay” and proxy access. Recent legislation permits emerging growth companies to implement many of these requirements over a longer period and up to the fifth anniversary of our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Insiders have substantial influence over us, which could limit your ability to affect the outcome of key transactions, including a 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beneficial ownership of our common stock as of March 31, 2026, our directors and executive officers, holders of 5% or more of our capital stock and their respective affiliates beneficially own a significant percentage of our outstanding common stock.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do not expect to pay any dividends for the foreseeable future. Investors may never obtain a return on their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have never declared or paid cash dividends on shares of our common stock and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 over financial reporting, our operating results and our ability to operate our business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the United States (“U.S. GAAP"). As a public company, we are required to incur additional costs and obligations in order to comply with SEC rules that implement Section 404 of the Sarbanes-Oxley Act. Under these rules, beginning with our second Annual Report on Form 10-K after we become a public company,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We are engaged in the process of documenting, reviewing and improving our internal controls and procedures for compliance with Section 404 of the Sarbanes-Oxley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amended and restated bylaws include provisions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expressly authorized our board of directors to make, alter, amend or repeal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and amended and restated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prohibits a person who owns in excess of 15% of our outstanding voting stock from merging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amended and restated certificate of incorporation or our amended and restated bylaws (including the interpretation, validity or enforceability thereof) or (iv) any action asserting a claim that is governed by the internal affairs doctrine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Unfavorable global economic conditions,</w:t>
      </w:r>
      <w:r>
        <w:rPr>
          <w:rFonts w:ascii="Times New Roman" w:hAnsi="Times New Roman"/>
          <w:color w:val="000000"/>
          <w:sz w:val="20"/>
        </w:rPr>
        <w:t xml:space="preserve"> </w:t>
      </w:r>
      <w:r>
        <w:rPr>
          <w:rFonts w:ascii="Times New Roman" w:hAnsi="Times New Roman"/>
          <w:b/>
          <w:i/>
          <w:color w:val="000000"/>
          <w:sz w:val="20"/>
        </w:rPr>
        <w:t>political instability and geopolitical events could adversely affect our business, financial condition, stock price,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by unstable economic and political conditions within the United States and foreign jurisdictions, including as a result of an economic downturn and geopolitical events, such as changes in or disruptions of U.S. governmental agencies, whether from a prolonged U.S. federal government shutdown or reduced resources, disruptions in capital markets, the potential for significant changes in U.S. federal policies or regulatory environment or other factors that affect the geopolitical landscape. The global credit and financial markets have also generally experienced extreme volatility and disruptions (including as a result of actual or perceived changes in interest rates, inflationary pressures and macroeconomic uncertainties), which has included severely diminished liquidity and credit availability, declines in consumer confidence, declines in economic growth, fluctuations in inflation rates, changes in interest rates, uncertainty about economic stability, global supply chain disruptions, and increases in unemployment rates. There can be no assurance that further deterioration in credit and financial markets and confidence in economic conditions will not occur, including as a result of heightened geopolitical tensions or increasing concerns regarding a potential global recession. A severe or prolonged economic downturn could result in a variety of risks to our business, including a decrease in the demand for our product candidates and in our ability to raise additional capital when needed on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markets and the global economy may also be adversely affected by the current or anticipated impact of military conflicts, such as the recent conflict in Iran, as well as ongoing conflicts between Russia and Ukraine, and in the Middle East,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Although the length and impact of the ongoing military conflicts is highly unpredictable, the ongoing conflicts between Russia and Ukraine, the United States and Iran, and in the Middle East have led to market disruptions, including significant volatility in commodity prices, credit and capital markets, as well as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supply chain interruptions, which contributed to record inflation globally. We are continuing to monitor inflation, the situations in Ukraine and the Middle East and global capital markets and assessing their potential impact on our business, including the impact on the supply chains we rely on for the manufacture of our product and product candidates and related raw materials. Additionally, changes to policy implemented by the U.S. Congress, the current administration or any new administration have impacted and may in the future impact, among other things, the U.S. and global economy, international trade relations, unemployment, immigration, healthcare, taxation, the U.S. regulatory environment, inflation and other areas.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For example, the BIOSECURE Act signed into law as part of the recently-enacted NDAA may restrict the ability of United States pharmaceutical companies to purchase services or products from, or otherwise collaborate with, certain Chinese biotechnology companies of concern without losing the ability to contract with, or otherwise receive funding from, the United States government. We continue to assess the legislation as it develops to determine whether it could have an effect on our contractual relationships.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breach of statutory, regulatory or contractual obligations, including obligations that require us to maintain letters of credit or other credit support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cash management arrangements and/or delays in accessing or actual loss of funds subject to cash management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industry or financial analysts publish about us or our business. If one or more of the analysts covering our business downgrade their evaluations of our stock or publishes inaccurate or unfavorable research about our business, the price of our stock could decline. If one or more of these analysts ceases coverage of our company or fails to publish reports on us regularly, we could lose visibility in the market for our stock, which in turn could cause our stock price and trading volume to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become involved in litigation and investigations that could divert management’s attention and harm our business, and insurance coverage may not be sufficient to cover all costs and damages.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litigation claims and investigations from the SEC and other government agencies through the ordinary course of our business operations regarding, but not limited to, securities litigation, employment matters, security of patient and employee personal data, government-issued subpoenas,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(which may not be publicly disclosed by the SEC or by us, particularly where the SEC or investigating body has made it clear that no wrongdoing has been alleged). In addition, we may be exposed to litigation or investigation even if no wrongdoing has occurred. Responding to litigations and investigations is usually expensive, and our insurance coverage many not be sufficient to cover the legal costs for doing so, as well as any damages for which we are ultimately held responsible. In addition, responding to a litigation or an investigation diverts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insurance policies are expensive and only protect us from some business risks, which will leave us exposed to significant uninsured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property, general liability, crime insurance, workers’ compensation, and directors’ and officers’, employment practices and fiduciary liability insurance, clinical trial insurance, transportation insurance and umbrella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Increased attention to, and evolving expectations for, environmental, social, and governance initiatives could increase our costs, harm our reputation, or otherwise adversely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Companies across industries are facing increasing scrutiny from a variety of stakeholders related to their environmental, climate change, social, and governance (“ESG”) and sustainability practices. Investor advocacy groups, certain institutional investors, investment funds, and other influential investors have increasingly focused on ESG practices and have placed increasing importance on the non-financial impacts of their investments. Expectations regarding voluntary ESG initiatives and disclosures may result in increased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(including but not limited to increased costs related to compliance, stakeholder engagement, contracting and insurance), enhanced compliance or disclosure obligations, or other adverse impacts to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In addition, in recent years “anti-ESG” sentiment has gained momentum across the United States, with several states and Congress having proposed or enacted “anti-ESG” policies, legislation, or initiatives or issued related legal opinions, and the President having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 Therefore, to the extent we take actions that are seen as positive to some investors, other investors may take issue with such actions or face regulatory pressure to refrain from investing in, or divest from, our business. To the extent ESG matters negatively impact our reputation, it may also impede our ability to compete as effectively to attract and retain employees, which may adversely impact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expect there will likely be increasing levels of regulation, disclosure-related and otherwise, with respect to ESG matters. For example, the SEC has issued rules that require companies to provide significantly expanded climate-related disclosures in their periodic reporting. The new climate disclosure rules were the subject of multiple legal challenges, and the SEC voluntarily stayed the climate disclosure rules pending the completion of judicial review. Therefore, it is unknown whether the new rules will go into effect and if they do, whether there will be significant changes. If the new rules go into effect and are not substantially different than the rules adopted by the SEC, we may be required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Even if the SEC rules are not adopted, states or ex-U.S. jurisdictions in which we currently or may in the future operate may also have or adopt ESG or climate-related disclosure rules requiring similar or broader disclosure obligations.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increasing use of social media platforms presents risks and challenges.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pStyle w:val="TextBody"/>
        <w:bidi w:val="0"/>
        <w:spacing w:before="24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 Use of Proceeds from our IPO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October 24, 2024, our Registration Statement on Form S-1 (File No. 333-282469), as amended, relating to our IPO was declared effective by the Securities and Exchange Commission (the “Registration Statement”).Pursuant to the Registration Statement, we registered the offer and sale of 18,400,000 shares of our common stock. On October 28, 2024, we closed our IPO, pursuant to which we issued and sold 18.4 million shares of common stock at the public offering price of $18.00 per share, which included 2.4 million shares of our common stock issued and sold on October 30, 2024 to the underwriters pursuant to the full exercise of their option to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 additional shares of our common stock, at the public offering price of $18.00 per share. Pursuant to the IPO, we received gross proceeds of $331.2 million, which resulted in net proceeds to us of $302.8 million, after deducting underwriting discounts and commissions and other offering costs payable by us of $28.4 million. J.P. Morgan Securities LLC, TD Securities (USA) LLC, Cantor Fitzgerald &amp; Co. and Wells Fargo Securities, LLC acted as joint book-running managers for the IPO.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proceeds from our IPO have been invested according to our approved investment policy in a mix of money market funds and high-quality, fixed income securities. Our planned use of the net proceeds from the IPO as described in our final prospectus filed with the SEC pursuant to Rule 424(b)(4) under the Securities Act of 1933, as amended (the “Securities Act”) on October 25, 2024 has changed due to the discontinuation of the development of our prior lead product candidate, SEP-786. As a result, we currently expect to use our cash, cash equivalents and marketable securities, which include the net proceeds from the IPO, to advance SEP-479 and SEP-631 in clinical development, continue to advance the other programs in our pipeline, and the remainder to fund working capital and other general corporate purposes. Except for the reallocation of SEP-786 funds discussed above, there has been no material changes in the planned use of proceeds from our IPO as described in our final prospectus filed with the SEC pursuant to Rule 424(b)(4) under the Securities Act on October 25,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i/>
          <w:color w:val="000000"/>
          <w:sz w:val="20"/>
        </w:rPr>
        <w:t>Rule 10b5-1 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20, 2026, Daniel Long, D.Phil., our Senior Vice President, Drug Discovery, adopted a pre-arranged trading plan for the sale, at the times and prices specified in the plan, of up to an aggregate of 45,000 shares of our common stock (comprised of shares issuable upon the exercise of option awards previously granted to Dr. Long), which plan expires at the earlier of March 31, 2027 and the date upon which all authorized transactions thereunder are completed. Dr. Long's trading plan is intended to satisfy the affirmative defense conditions of Rule 10b5-1(c) under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no other directors or officers (as defined in Rule 16a-1(f) of the Exchange Act) of the Company adopted, modified, or terminated a “Rule 10b5-1 trading arrangement” or a “non-Rule 10b5-1 trading arrangement” as each term is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80"/>
        <w:gridCol w:w="146"/>
        <w:gridCol w:w="5791"/>
        <w:gridCol w:w="146"/>
        <w:gridCol w:w="511"/>
        <w:gridCol w:w="146"/>
        <w:gridCol w:w="740"/>
        <w:gridCol w:w="146"/>
        <w:gridCol w:w="631"/>
        <w:gridCol w:w="146"/>
        <w:gridCol w:w="1022"/>
      </w:tblGrid>
      <w:tr>
        <w:trPr/>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8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28, 2024</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28, 2024</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10_1.htm">
              <w:r>
                <w:rPr>
                  <w:rStyle w:val="InternetLink"/>
                  <w:rFonts w:ascii="Times New Roman" w:hAnsi="Times New Roman"/>
                  <w:color w:val="0000FF"/>
                  <w:sz w:val="20"/>
                  <w:u w:val="single"/>
                </w:rPr>
                <w:t>Amended and Restated Non-Employee Director Compensation Policy, effective March 18,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Employment Agreement by and between the Registrant and Mark Wilson, dated as of January 6,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 The certifications furnished in Exhibit 32.1 hereto are deemed to be furnished with this Quarterly Report and will not be deemed to be “filed” for purposes of Section 18 of the Exchange Act or otherwise subject to liability of that section. Such certifications will not be deemed incorporated by reference into any filing under the Securities Act or the Exchange Act except to the extent that the Registrant specifically incorporates it by reference into such filing.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 Financial Statement Schedules.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1741"/>
        <w:gridCol w:w="146"/>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Septerna,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Finer,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 M. Labrucherie, CFA, J.D.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 M. Labrucherie, CFA, J.D.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sepn-ex10_1.htm"/>
      <w:bookmarkStart w:id="23" w:name="kssepnex10_1"/>
      <w:bookmarkEnd w:id="22"/>
      <w:bookmarkEnd w:id="23"/>
      <w:r>
        <w:rPr>
          <w:rFonts w:ascii="Times New Roman" w:hAnsi="Times New Roman"/>
          <w:b/>
          <w:color w:val="000000"/>
          <w:sz w:val="20"/>
        </w:rPr>
        <w:t>Exhibit 10.1</w:t>
      </w:r>
      <w:r>
        <w:br w:type="page"/>
      </w:r>
    </w:p>
    <w:p>
      <w:pPr>
        <w:pStyle w:val="TextBody"/>
        <w:bidi w:val="0"/>
        <w:spacing w:before="0" w:after="16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SEPTERNA, INC.</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AMENDED AND RESTATED NON-EMPLOYEE DIRECTOR COMPENSATION POLICY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purpose of this Amended and Restated Non-Employee Director Compensation Policy (as may be amended from time to time, this “Policy”) of Septerna, Inc., a Delaware corporation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its equity securities (the “Effective Date”). In furtherance of the purpose stated above, all Outside Directors shall be paid compensation for services provided to the Company as Outside Directors as set forth below: </w:t>
      </w:r>
    </w:p>
    <w:p>
      <w:pPr>
        <w:pStyle w:val="TextBody"/>
        <w:bidi w:val="0"/>
        <w:spacing w:before="0" w:after="160"/>
        <w:jc w:val="left"/>
        <w:rPr>
          <w:rFonts w:ascii="Times New Roman" w:hAnsi="Times New Roman"/>
          <w:sz w:val="20"/>
        </w:rPr>
      </w:pPr>
      <w:r>
        <w:rPr>
          <w:rFonts w:ascii="Times New Roman" w:hAnsi="Times New Roman"/>
          <w:color w:val="000000"/>
          <w:sz w:val="20"/>
          <w:u w:val="single"/>
        </w:rPr>
        <w:t>Cash Retainers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0"/>
          <w:u w:val="single"/>
        </w:rPr>
        <w:t>Annual Retainer for Board Membership:</w:t>
      </w:r>
      <w:r>
        <w:rPr>
          <w:rFonts w:ascii="Times New Roman" w:hAnsi="Times New Roman"/>
          <w:color w:val="000000"/>
          <w:sz w:val="20"/>
        </w:rPr>
        <w:t xml:space="preserve">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 </w:t>
      </w:r>
    </w:p>
    <w:tbl>
      <w:tblPr>
        <w:tblW w:w="8483" w:type="dxa"/>
        <w:jc w:val="left"/>
        <w:tblInd w:w="0" w:type="dxa"/>
        <w:tblLayout w:type="fixed"/>
        <w:tblCellMar>
          <w:top w:w="28" w:type="dxa"/>
          <w:left w:w="28" w:type="dxa"/>
          <w:bottom w:w="28" w:type="dxa"/>
          <w:right w:w="28" w:type="dxa"/>
        </w:tblCellMar>
      </w:tblPr>
      <w:tblGrid>
        <w:gridCol w:w="7324"/>
        <w:gridCol w:w="1159"/>
      </w:tblGrid>
      <w:tr>
        <w:trPr/>
        <w:tc>
          <w:tcPr>
            <w:tcW w:w="732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sz w:val="20"/>
              </w:rPr>
            </w:pPr>
            <w:r>
              <w:rPr>
                <w:rFonts w:ascii="Times New Roman" w:hAnsi="Times New Roman"/>
                <w:color w:val="000000"/>
                <w:sz w:val="20"/>
                <w:u w:val="single"/>
              </w:rPr>
              <w:t>Additional Annual Retainer for Non-Executive Chairperson:</w:t>
            </w:r>
            <w:r>
              <w:rPr>
                <w:rFonts w:ascii="Times New Roman" w:hAnsi="Times New Roman"/>
                <w:color w:val="000000"/>
                <w:sz w:val="20"/>
              </w:rPr>
              <w:t xml:space="preserve">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$30,000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sz w:val="20"/>
              </w:rPr>
            </w:pPr>
            <w:r>
              <w:rPr>
                <w:rFonts w:ascii="Times New Roman" w:hAnsi="Times New Roman"/>
                <w:color w:val="000000"/>
                <w:sz w:val="20"/>
                <w:u w:val="single"/>
              </w:rPr>
              <w:t>Additional Annual Retainers for Committee Membership:</w:t>
            </w:r>
            <w:r>
              <w:rPr>
                <w:rFonts w:ascii="Times New Roman" w:hAnsi="Times New Roman"/>
                <w:color w:val="000000"/>
                <w:sz w:val="20"/>
              </w:rPr>
              <w:t xml:space="preserve">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Audit Committee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$20,000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Audit Committee member (other than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$10,000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Compensation Committee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$12,000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Compensation Committee member (other than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$6,000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Nominating and Corporate Governance Committee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$10,000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Nominating and Corporate Governance Committee member (other than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$5,000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Research and Development Committee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$12,000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Research and Development Committee member (other than Chairperson):</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 xml:space="preserve">$6,000 </w:t>
            </w:r>
          </w:p>
        </w:tc>
      </w:tr>
      <w:tr>
        <w:trPr/>
        <w:tc>
          <w:tcPr>
            <w:tcW w:w="732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bl>
    <w:p>
      <w:pPr>
        <w:pStyle w:val="TextBody"/>
        <w:bidi w:val="0"/>
        <w:spacing w:before="0" w:after="160"/>
        <w:jc w:val="left"/>
        <w:rPr>
          <w:rFonts w:ascii="Times New Roman" w:hAnsi="Times New Roman"/>
          <w:sz w:val="20"/>
        </w:rPr>
      </w:pPr>
      <w:r>
        <w:rPr>
          <w:rFonts w:ascii="Times New Roman" w:hAnsi="Times New Roman"/>
          <w:color w:val="000000"/>
          <w:sz w:val="20"/>
          <w:u w:val="single"/>
        </w:rPr>
        <w:t>Equity Retainers</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All grants of equity retainer awards to Outside Directors pursuant to this Policy will be automatic and nondiscretionary and will be made in accordance with the following provisions: </w:t>
      </w:r>
    </w:p>
    <w:p>
      <w:pPr>
        <w:pStyle w:val="TextBody"/>
        <w:bidi w:val="0"/>
        <w:spacing w:before="0" w:after="160"/>
        <w:jc w:val="both"/>
        <w:rPr>
          <w:rFonts w:ascii="Times New Roman" w:hAnsi="Times New Roman"/>
          <w:sz w:val="20"/>
        </w:rPr>
      </w:pPr>
      <w:r>
        <w:rPr>
          <w:rFonts w:ascii="Times New Roman" w:hAnsi="Times New Roman"/>
          <w:color w:val="000000"/>
          <w:sz w:val="20"/>
          <w:u w:val="single"/>
        </w:rPr>
        <w:t>Initial Award:</w:t>
      </w:r>
      <w:r>
        <w:rPr>
          <w:rFonts w:ascii="Times New Roman" w:hAnsi="Times New Roman"/>
          <w:color w:val="000000"/>
          <w:sz w:val="20"/>
        </w:rPr>
        <w:t xml:space="preserve"> Upon his or her initial election to the Board of Directors, each Outside Director will receive an initial, one-time stock option award (the “Initial Award”) to purchase 30,000 shares, which shall vest in equal monthly installments over three years from the date of grant, provided, however, that all vesting shall cease if the director ceases his or her Service Relationship with the Company unless the Board of Directors determines that the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(Effective March 18,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circumstances warrant continuation of vesting. The Initial Award shall expire ten years from the date of grant, and shall have a per share exercise price equal to the Fair Market Value (as defined in the Company’s 2024 Stock Option and Incentive Plan, as amended from time to time) of the Company’s common stock on the date of grant. This Initial Award applies only to Outside Directors who are first elected to the Board of Directors subsequent to the Effective Date. </w:t>
      </w:r>
    </w:p>
    <w:p>
      <w:pPr>
        <w:pStyle w:val="TextBody"/>
        <w:bidi w:val="0"/>
        <w:spacing w:before="0" w:after="160"/>
        <w:jc w:val="both"/>
        <w:rPr>
          <w:rFonts w:ascii="Times New Roman" w:hAnsi="Times New Roman"/>
          <w:sz w:val="20"/>
        </w:rPr>
      </w:pPr>
      <w:r>
        <w:rPr>
          <w:rFonts w:ascii="Times New Roman" w:hAnsi="Times New Roman"/>
          <w:color w:val="000000"/>
          <w:sz w:val="20"/>
          <w:u w:val="single"/>
        </w:rPr>
        <w:t>Annual Award:</w:t>
      </w:r>
      <w:r>
        <w:rPr>
          <w:rFonts w:ascii="Times New Roman" w:hAnsi="Times New Roman"/>
          <w:color w:val="000000"/>
          <w:sz w:val="20"/>
        </w:rPr>
        <w:t xml:space="preserve"> On each date of each Annual Meeting of Stockholders of the Company following the Effective Date (the “Annual Meeting”), each continuing Outside Director, other than a director receiving an Initial Award, will receive an annual stock option award (the “Annual Award”) to purchase 15,000 shares, which shall vest in full upon the earlier of (i) the first anniversary of the date of grant or (ii) the date of the next Annual Meeting; provided, however, that all vesting shall cease if the director ceases his or her Service Relationship with the Company unless the Board of Directors determines that the circumstances warrant continuation of vesting. Such Annual Award shall expire ten years from the date of grant, and shall have a per share exercise price equal to the Fair Market Value of the Company’s common stock on the date of grant. If a new Outside Director joins the Board of Directors on a date other than the date of the Annual Meeting, then in lieu of the above, such Outside Director will be granted a pro-rata portion of the Annual Award at the next Annual Meeting following the Outside Director’s appointment, based on the number of full calendar months of service provided by the Outside Director to the Company between the Outside Director’s appointment and the next Annual Meeting following the Outside Director’s appointment (the “Pro-Rated Annual Grant”). The Pro-Rated Annual Grant will vest in full upon the earlier of (i) the first anniversary of the date of grant or (ii) the date of the next Annual Meeting; provided, however, that all vesting ceases if the Outside Director ceases his or her Service Relationship with the Company, unless the Board of Directors determines that the circumstances warrant continuation or acceleration of vesting. The Pro-Rated Annual Grant shall expire ten years from the date of grant, and shall have a per share exercise price equal to the Fair Market Value of the Company’s common stock on the date of grant. </w:t>
      </w:r>
    </w:p>
    <w:p>
      <w:pPr>
        <w:pStyle w:val="TextBody"/>
        <w:bidi w:val="0"/>
        <w:spacing w:before="0" w:after="160"/>
        <w:jc w:val="both"/>
        <w:rPr>
          <w:rFonts w:ascii="Times New Roman" w:hAnsi="Times New Roman"/>
          <w:sz w:val="20"/>
        </w:rPr>
      </w:pPr>
      <w:r>
        <w:rPr>
          <w:rFonts w:ascii="Times New Roman" w:hAnsi="Times New Roman"/>
          <w:color w:val="000000"/>
          <w:sz w:val="20"/>
          <w:u w:val="single"/>
        </w:rPr>
        <w:t>Value:</w:t>
      </w:r>
      <w:r>
        <w:rPr>
          <w:rFonts w:ascii="Times New Roman" w:hAnsi="Times New Roman"/>
          <w:color w:val="000000"/>
          <w:sz w:val="20"/>
        </w:rPr>
        <w:t xml:space="preserve">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closing market price on the Nasdaq Global Market (or such other market on which the Company’s common stock is then principally listed) of one share of the Company’s common stock on the date of grant and (B) the aggregate number of shares of common stock underlying such award. </w:t>
      </w:r>
    </w:p>
    <w:p>
      <w:pPr>
        <w:pStyle w:val="TextBody"/>
        <w:bidi w:val="0"/>
        <w:spacing w:before="0" w:after="160"/>
        <w:jc w:val="both"/>
        <w:rPr>
          <w:rFonts w:ascii="Times New Roman" w:hAnsi="Times New Roman"/>
          <w:sz w:val="20"/>
        </w:rPr>
      </w:pPr>
      <w:r>
        <w:rPr>
          <w:rFonts w:ascii="Times New Roman" w:hAnsi="Times New Roman"/>
          <w:color w:val="000000"/>
          <w:sz w:val="20"/>
          <w:u w:val="single"/>
        </w:rPr>
        <w:t>Sale Event Acceleration:</w:t>
      </w:r>
      <w:r>
        <w:rPr>
          <w:rFonts w:ascii="Times New Roman" w:hAnsi="Times New Roman"/>
          <w:color w:val="000000"/>
          <w:sz w:val="20"/>
        </w:rPr>
        <w:t xml:space="preserve"> All outstanding Initial Awards and Annual Awards (including Pro-Rated Annual Grants) held by an Outside Director shall become fully vested, exercisable (if applicable) and nonforfeitable upon a Sale Event (as defined in the Company’s 2024 Stock Option and Incentive Plan, as amended from time to time). </w:t>
      </w:r>
    </w:p>
    <w:p>
      <w:pPr>
        <w:pStyle w:val="TextBody"/>
        <w:bidi w:val="0"/>
        <w:spacing w:before="0" w:after="160"/>
        <w:jc w:val="left"/>
        <w:rPr>
          <w:rFonts w:ascii="Times New Roman" w:hAnsi="Times New Roman"/>
          <w:sz w:val="20"/>
        </w:rPr>
      </w:pPr>
      <w:r>
        <w:rPr>
          <w:rFonts w:ascii="Times New Roman" w:hAnsi="Times New Roman"/>
          <w:color w:val="000000"/>
          <w:sz w:val="20"/>
          <w:u w:val="single"/>
        </w:rPr>
        <w:t>Expenses</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 will reimburse all reasonable out-of-pocket expenses incurred by Outside Directors in attending meetings of the Board of Directors or any committee thereof. </w:t>
      </w:r>
    </w:p>
    <w:p>
      <w:pPr>
        <w:pStyle w:val="TextBody"/>
        <w:bidi w:val="0"/>
        <w:spacing w:before="0" w:after="160"/>
        <w:jc w:val="left"/>
        <w:rPr>
          <w:rFonts w:ascii="Times New Roman" w:hAnsi="Times New Roman"/>
          <w:sz w:val="20"/>
        </w:rPr>
      </w:pPr>
      <w:r>
        <w:rPr>
          <w:rFonts w:ascii="Times New Roman" w:hAnsi="Times New Roman"/>
          <w:color w:val="000000"/>
          <w:sz w:val="20"/>
          <w:u w:val="single"/>
        </w:rPr>
        <w:t>Maximum Annual Compensation</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aggregate amount of compensation, including both equity compensation and cash compensation, paid by the Company to any Outside Director in a calendar year for services as an Outside Director shall not exceed $750,000 (or such other limit as may be set forth in Section 3(b) of the Company’s 2024 Stock Option and Incentive Plan, as amended from time to time, or any similar provision of a successor plan); provided, however, that in the first calendar year in which an individual becomes an Outside Director, the aggregate amount of all equity compensation awarded and all other cash compensation paid by the Company to such Outside Director for services as an Outside Director shall not exceed $1,000,000 (or such other limit as may be set forth in Section 3(b) of the Company’s 2024 Stock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(Effective March 18,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Option and Incentive Plan, as amended from time to time,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(Effective March 18,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epn-ex31_1.htm"/>
      <w:bookmarkStart w:id="25" w:name="kssepnex31_1"/>
      <w:bookmarkEnd w:id="24"/>
      <w:bookmarkEnd w:id="25"/>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 Jeffrey Finer,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Septerna,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 (f) and 15d-15 (f))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732" w:type="dxa"/>
        <w:jc w:val="left"/>
        <w:tblInd w:w="0" w:type="dxa"/>
        <w:tblLayout w:type="fixed"/>
        <w:tblCellMar>
          <w:top w:w="28" w:type="dxa"/>
          <w:left w:w="28" w:type="dxa"/>
          <w:bottom w:w="28" w:type="dxa"/>
          <w:right w:w="28" w:type="dxa"/>
        </w:tblCellMar>
      </w:tblPr>
      <w:tblGrid>
        <w:gridCol w:w="1741"/>
        <w:gridCol w:w="109"/>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Jeffrey Finer,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aps/>
          <w:color w:val="000000"/>
          <w:sz w:val="16"/>
        </w:rPr>
      </w:pPr>
      <w:r>
        <w:rPr>
          <w:rFonts w:ascii="sans-serif" w:hAnsi="sans-serif"/>
          <w:caps/>
          <w:color w:val="000000"/>
          <w:sz w:val="16"/>
        </w:rPr>
        <w:t>DOCPROPERTY DOCXDOCID DMS=IManage Format=&lt;&lt;LIB&gt;&gt;/&lt;&lt;NUM&gt;&gt;.&lt;&lt;VER&gt;&gt; \* MERGEFORMAT ACTIVE/132377973.2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sepn-ex31_2.htm"/>
      <w:bookmarkStart w:id="27" w:name="kssepnex31_2"/>
      <w:bookmarkEnd w:id="26"/>
      <w:bookmarkEnd w:id="27"/>
      <w:r>
        <w:rPr>
          <w:rFonts w:ascii="Times New Roman" w:hAnsi="Times New Roman"/>
          <w:b/>
          <w:color w:val="000000"/>
          <w:sz w:val="20"/>
        </w:rPr>
        <w:t>Exhibit 31.2</w:t>
      </w:r>
      <w:r>
        <w:br w:type="page"/>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Gil M. Labrucherie,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Septerna,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1741"/>
        <w:gridCol w:w="146"/>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 M. Labrucherie, CFA, J.D.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 M. Labrucherie, CFA, J.D.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sepn-ex32_1.htm"/>
      <w:bookmarkStart w:id="29" w:name="kssepnex32_1"/>
      <w:bookmarkEnd w:id="28"/>
      <w:bookmarkEnd w:id="29"/>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Septerna, Inc. (the “Company”) on Form 10-Q for the period ended March 31, 2026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732" w:type="dxa"/>
        <w:jc w:val="left"/>
        <w:tblInd w:w="0" w:type="dxa"/>
        <w:tblLayout w:type="fixed"/>
        <w:tblCellMar>
          <w:top w:w="28" w:type="dxa"/>
          <w:left w:w="28" w:type="dxa"/>
          <w:bottom w:w="28" w:type="dxa"/>
          <w:right w:w="28" w:type="dxa"/>
        </w:tblCellMar>
      </w:tblPr>
      <w:tblGrid>
        <w:gridCol w:w="1741"/>
        <w:gridCol w:w="109"/>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Jeffrey Finer,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(Principal Executive Officer)</w:t>
            </w:r>
          </w:p>
        </w:tc>
      </w:tr>
    </w:tbl>
    <w:tbl>
      <w:tblPr>
        <w:tblW w:w="7402" w:type="dxa"/>
        <w:jc w:val="left"/>
        <w:tblInd w:w="0" w:type="dxa"/>
        <w:tblLayout w:type="fixed"/>
        <w:tblCellMar>
          <w:top w:w="28" w:type="dxa"/>
          <w:left w:w="28" w:type="dxa"/>
          <w:bottom w:w="28" w:type="dxa"/>
          <w:right w:w="28" w:type="dxa"/>
        </w:tblCellMar>
      </w:tblPr>
      <w:tblGrid>
        <w:gridCol w:w="1741"/>
        <w:gridCol w:w="109"/>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 M. Labrucherie, CFA, J.D.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 M. Labrucherie, CFA, J.D.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This certification accompanies the Form 10-Q to which it relates, is not deemed filed with the Securities and Exchange Commission, and is not to be incorporated by reference into any filing of Septerna,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84086/000119312524245578/d851611dex31.htm" TargetMode="External"/><Relationship Id="rId4" Type="http://schemas.openxmlformats.org/officeDocument/2006/relationships/hyperlink" Target="https://www.sec.gov/Archives/edgar/data/1984086/000119312524245578/d851611dex32.htm" TargetMode="External"/><Relationship Id="rId5" Type="http://schemas.openxmlformats.org/officeDocument/2006/relationships/hyperlink" Target="https://www.sec.gov/Archives/edgar/data/1984086/000119312526098507/sepn-ex10_20.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77952</Words>
  <Characters>439961</Characters>
  <CharactersWithSpaces>517416</CharactersWithSpaces>
  <Paragraphs>5478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