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Gottesdiener Keith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11,260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11,260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11,260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a power of attorney (the "Power of Attorney") previously filed with the U.S. Securities and Exchange Commission, the undersigned was appointed an attorney-in-fact for the below listed individual to, among other things, execute for and on behalf of the following individual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Keith Michael Gottesdiener</w:t>
      </w:r>
    </w:p>
    <w:p>
      <w:pPr>
        <w:spacing w:after="0" w:line="21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the Power of Attorney, including the full power of substitution, the undersigned hereby appoints Mark A. Wilson as substitute attorney-in-fact, on behalf of the individual listed above, with the power to exercise and execute all of the powers granted or conferred in the original Power of Attorney. For the avoidance of doubt, the foregoing appointment shall not serve as a revocation of the powers granted to the undersigned herself in the Power of Attorney.</w:t>
      </w:r>
    </w:p>
    <w:p>
      <w:pPr>
        <w:spacing w:after="0" w:line="17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the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60"/>
      </w:cols>
      <w:pgMar w:left="460" w:top="7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5856"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2026-06-30T18:00:59Z</dcterms:created>
  <dcterms:modified xsi:type="dcterms:W3CDTF">2026-06-30T18:00:59Z</dcterms:modified>
</cp:coreProperties>
</file>