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SEPTERNA,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Septerna, Inc.</w:t>
              </w:r>
            </w:hyperlink>
            <w:r>
              <w:rPr/>
              <w:t xml:space="preserve"> [ </w:t>
            </w:r>
            <w:r>
              <w:rPr>
                <w:rFonts w:ascii="Times;serif" w:hAnsi="Times;serif"/>
                <w:color w:val="0000FF"/>
                <w:sz w:val="24"/>
                <w:shd w:fill="FFFFFF" w:val="clear"/>
              </w:rPr>
              <w:t>SEPN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6.81</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178,209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33.9935</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174,209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6.81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80,911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sales plan adopted by the Reporting Person on October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$33.49 to $34.24.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1/48th of the shares subject to such option vest and become exercisable in substantially equal monthly installments on each monthly anniversary of October 28, 2024, subject to the Reporting Person's continuous service to the Issuer on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8622" TargetMode="External"/><Relationship Id="rId5" Type="http://schemas.openxmlformats.org/officeDocument/2006/relationships/hyperlink" Target="http://www.sec.gov/cgi-bin/browse-edgar?action=getcompany&amp;CIK=00019840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3852</Characters>
  <CharactersWithSpaces>4492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