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center"/>
        <w:rPr/>
      </w:pPr>
      <w:bookmarkStart w:id="0" w:name="sepn-20251231.htm"/>
      <w:bookmarkStart w:id="1" w:name="kssepn20251231"/>
      <w:bookmarkEnd w:id="0"/>
      <w:bookmarkEnd w:id="1"/>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FORM 10-K</w:t>
      </w:r>
    </w:p>
    <w:p>
      <w:pPr>
        <w:pStyle w:val="TextBody"/>
        <w:pBdr>
          <w:bottom w:val="single" w:sz="8" w:space="1" w:color="000000"/>
        </w:pBdr>
        <w:bidi w:val="0"/>
        <w:jc w:val="center"/>
        <w:rPr/>
      </w:pPr>
      <w:r>
        <w:rPr/>
        <w:t> </w:t>
      </w:r>
    </w:p>
    <w:p>
      <w:pPr>
        <w:pStyle w:val="TextBody"/>
        <w:bidi w:val="0"/>
        <w:spacing w:before="80" w:after="283"/>
        <w:jc w:val="left"/>
        <w:rPr/>
      </w:pPr>
      <w:r>
        <w:rPr/>
        <w:t> </w:t>
      </w:r>
    </w:p>
    <w:tbl>
      <w:tblPr>
        <w:tblW w:w="9812" w:type="dxa"/>
        <w:jc w:val="left"/>
        <w:tblInd w:w="0" w:type="dxa"/>
        <w:tblLayout w:type="fixed"/>
        <w:tblCellMar>
          <w:top w:w="28" w:type="dxa"/>
          <w:left w:w="28" w:type="dxa"/>
          <w:bottom w:w="28" w:type="dxa"/>
          <w:right w:w="28" w:type="dxa"/>
        </w:tblCellMar>
      </w:tblPr>
      <w:tblGrid>
        <w:gridCol w:w="391"/>
        <w:gridCol w:w="9421"/>
      </w:tblGrid>
      <w:tr>
        <w:trPr/>
        <w:tc>
          <w:tcPr>
            <w:tcW w:w="39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ANNUAL REPORT PURSUANT TO SECTION 13 OR 15(d) OF THE SECURITIES EXCHANGE ACT OF 1934</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9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Fiscal Year Ended December 31, 2025</w:t>
            </w:r>
          </w:p>
        </w:tc>
      </w:tr>
      <w:tr>
        <w:trPr/>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9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OR</w:t>
            </w:r>
          </w:p>
        </w:tc>
      </w:tr>
      <w:tr>
        <w:trPr/>
        <w:tc>
          <w:tcPr>
            <w:tcW w:w="391" w:type="dxa"/>
            <w:tcBorders/>
            <w:tcMar>
              <w:top w:w="0" w:type="dxa"/>
              <w:left w:w="0" w:type="dxa"/>
              <w:bottom w:w="0" w:type="dxa"/>
              <w:right w:w="0" w:type="dxa"/>
            </w:tcMar>
            <w:vAlign w:val="center"/>
          </w:tcPr>
          <w:p>
            <w:pPr>
              <w:pStyle w:val="TableContents"/>
              <w:bidi w:val="0"/>
              <w:spacing w:before="32" w:after="283"/>
              <w:jc w:val="left"/>
              <w:rPr>
                <w:color w:val="000000"/>
              </w:rPr>
            </w:pPr>
            <w:r>
              <w:rPr>
                <w:color w:val="000000"/>
              </w:rPr>
              <w:t xml:space="preserve">☐ </w:t>
            </w:r>
          </w:p>
        </w:tc>
        <w:tc>
          <w:tcPr>
            <w:tcW w:w="9421" w:type="dxa"/>
            <w:tcBorders/>
            <w:tcMar>
              <w:top w:w="0" w:type="dxa"/>
              <w:left w:w="0" w:type="dxa"/>
              <w:bottom w:w="0" w:type="dxa"/>
              <w:right w:w="0" w:type="dxa"/>
            </w:tcMar>
            <w:vAlign w:val="center"/>
          </w:tcPr>
          <w:p>
            <w:pPr>
              <w:pStyle w:val="TableContents"/>
              <w:bidi w:val="0"/>
              <w:spacing w:before="32"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r>
        <w:trPr/>
        <w:tc>
          <w:tcPr>
            <w:tcW w:w="391" w:type="dxa"/>
            <w:tcBorders/>
            <w:tcMar>
              <w:top w:w="0" w:type="dxa"/>
              <w:left w:w="0" w:type="dxa"/>
              <w:bottom w:w="0" w:type="dxa"/>
              <w:right w:w="0" w:type="dxa"/>
            </w:tcMar>
            <w:vAlign w:val="center"/>
          </w:tcPr>
          <w:p>
            <w:pPr>
              <w:pStyle w:val="TableContents"/>
              <w:bidi w:val="0"/>
              <w:spacing w:before="32" w:after="283"/>
              <w:jc w:val="left"/>
              <w:rPr/>
            </w:pPr>
            <w:r>
              <w:rPr/>
              <w:t> </w:t>
            </w:r>
          </w:p>
        </w:tc>
        <w:tc>
          <w:tcPr>
            <w:tcW w:w="9421" w:type="dxa"/>
            <w:tcBorders/>
            <w:tcMar>
              <w:top w:w="0" w:type="dxa"/>
              <w:left w:w="0" w:type="dxa"/>
              <w:bottom w:w="0" w:type="dxa"/>
              <w:right w:w="0" w:type="dxa"/>
            </w:tcMar>
            <w:vAlign w:val="center"/>
          </w:tcPr>
          <w:p>
            <w:pPr>
              <w:pStyle w:val="TableContents"/>
              <w:bidi w:val="0"/>
              <w:spacing w:before="32" w:after="283"/>
              <w:jc w:val="center"/>
              <w:rPr>
                <w:rFonts w:ascii="Times New Roman" w:hAnsi="Times New Roman"/>
                <w:b/>
                <w:color w:val="000000"/>
                <w:sz w:val="16"/>
              </w:rPr>
            </w:pPr>
            <w:r>
              <w:rPr>
                <w:rFonts w:ascii="Times New Roman" w:hAnsi="Times New Roman"/>
                <w:b/>
                <w:color w:val="000000"/>
                <w:sz w:val="16"/>
              </w:rPr>
              <w:t>For the Transition Period From __________to__________</w:t>
            </w:r>
          </w:p>
        </w:tc>
      </w:tr>
    </w:tbl>
    <w:p>
      <w:pPr>
        <w:pStyle w:val="TextBody"/>
        <w:bidi w:val="0"/>
        <w:spacing w:before="120" w:after="283"/>
        <w:jc w:val="center"/>
        <w:rPr>
          <w:rFonts w:ascii="Times New Roman" w:hAnsi="Times New Roman"/>
          <w:b/>
          <w:color w:val="000000"/>
          <w:sz w:val="17"/>
        </w:rPr>
      </w:pPr>
      <w:r>
        <w:rPr>
          <w:rFonts w:ascii="Times New Roman" w:hAnsi="Times New Roman"/>
          <w:b/>
          <w:color w:val="000000"/>
          <w:sz w:val="17"/>
        </w:rPr>
        <w:t>Commission File Number 001-42382</w:t>
      </w:r>
    </w:p>
    <w:p>
      <w:pPr>
        <w:pStyle w:val="TextBody"/>
        <w:bidi w:val="0"/>
        <w:jc w:val="center"/>
        <w:rPr>
          <w:rFonts w:ascii="Times New Roman" w:hAnsi="Times New Roman"/>
          <w:b/>
          <w:color w:val="000000"/>
          <w:sz w:val="44"/>
        </w:rPr>
      </w:pPr>
      <w:r>
        <w:rPr>
          <w:rFonts w:ascii="Times New Roman" w:hAnsi="Times New Roman"/>
          <w:b/>
          <w:color w:val="000000"/>
          <w:sz w:val="44"/>
        </w:rPr>
        <w:t>Septerna, Inc.</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(Exact Name of Registrant as Specified in its Charter)</w:t>
      </w:r>
    </w:p>
    <w:tbl>
      <w:tblPr>
        <w:tblW w:w="4637" w:type="dxa"/>
        <w:jc w:val="left"/>
        <w:tblInd w:w="0" w:type="dxa"/>
        <w:tblLayout w:type="fixed"/>
        <w:tblCellMar>
          <w:top w:w="28" w:type="dxa"/>
          <w:left w:w="28" w:type="dxa"/>
          <w:bottom w:w="28" w:type="dxa"/>
          <w:right w:w="28" w:type="dxa"/>
        </w:tblCellMar>
      </w:tblPr>
      <w:tblGrid>
        <w:gridCol w:w="3076"/>
        <w:gridCol w:w="1561"/>
      </w:tblGrid>
      <w:tr>
        <w:trPr/>
        <w:tc>
          <w:tcPr>
            <w:tcW w:w="307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84-3891440</w:t>
            </w:r>
          </w:p>
        </w:tc>
      </w:tr>
      <w:tr>
        <w:trPr/>
        <w:tc>
          <w:tcPr>
            <w:tcW w:w="307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(State or other jurisdiction of</w:t>
            </w:r>
          </w:p>
          <w:p>
            <w:pPr>
              <w:pStyle w:val="TableContents"/>
              <w:bidi w:val="0"/>
              <w:spacing w:before="0" w:after="15"/>
              <w:jc w:val="center"/>
              <w:rPr>
                <w:rFonts w:ascii="Times New Roman" w:hAnsi="Times New Roman"/>
                <w:b/>
                <w:color w:val="000000"/>
                <w:sz w:val="18"/>
              </w:rPr>
            </w:pPr>
            <w:r>
              <w:rPr>
                <w:rFonts w:ascii="Times New Roman" w:hAnsi="Times New Roman"/>
                <w:b/>
                <w:color w:val="000000"/>
                <w:sz w:val="18"/>
              </w:rPr>
              <w:t>incorporation or organization)</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(I.R.S. Employer</w:t>
              <w:br/>
              <w:t>Identification No.)</w:t>
            </w:r>
          </w:p>
        </w:tc>
      </w:tr>
      <w:tr>
        <w:trPr/>
        <w:tc>
          <w:tcPr>
            <w:tcW w:w="3076" w:type="dxa"/>
            <w:tcBorders/>
            <w:tcMar>
              <w:top w:w="0" w:type="dxa"/>
              <w:left w:w="0" w:type="dxa"/>
              <w:bottom w:w="0" w:type="dxa"/>
              <w:right w:w="0" w:type="dxa"/>
            </w:tcMar>
            <w:vAlign w:val="center"/>
          </w:tcPr>
          <w:p>
            <w:pPr>
              <w:pStyle w:val="TableContents"/>
              <w:bidi w:val="0"/>
              <w:spacing w:before="0" w:after="15"/>
              <w:jc w:val="center"/>
              <w:rPr/>
            </w:pPr>
            <w:r>
              <w:rPr/>
              <w:t> </w:t>
            </w:r>
          </w:p>
          <w:p>
            <w:pPr>
              <w:pStyle w:val="TableContents"/>
              <w:bidi w:val="0"/>
              <w:spacing w:before="0" w:after="15"/>
              <w:jc w:val="center"/>
              <w:rPr>
                <w:rFonts w:ascii="Times New Roman" w:hAnsi="Times New Roman"/>
                <w:b/>
                <w:color w:val="000000"/>
                <w:sz w:val="18"/>
              </w:rPr>
            </w:pPr>
            <w:r>
              <w:rPr>
                <w:rFonts w:ascii="Times New Roman" w:hAnsi="Times New Roman"/>
                <w:b/>
                <w:color w:val="000000"/>
                <w:sz w:val="18"/>
              </w:rPr>
              <w:t>250 East Grand Avenue</w:t>
            </w:r>
          </w:p>
          <w:p>
            <w:pPr>
              <w:pStyle w:val="TableContents"/>
              <w:bidi w:val="0"/>
              <w:spacing w:before="0" w:after="15"/>
              <w:jc w:val="center"/>
              <w:rPr>
                <w:rFonts w:ascii="Times New Roman" w:hAnsi="Times New Roman"/>
                <w:b/>
                <w:color w:val="000000"/>
                <w:sz w:val="18"/>
              </w:rPr>
            </w:pPr>
            <w:r>
              <w:rPr>
                <w:rFonts w:ascii="Times New Roman" w:hAnsi="Times New Roman"/>
                <w:b/>
                <w:color w:val="000000"/>
                <w:sz w:val="18"/>
              </w:rPr>
              <w:t>South San Francisco, CA</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94080</w:t>
            </w:r>
          </w:p>
        </w:tc>
      </w:tr>
      <w:tr>
        <w:trPr/>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(Address of principal executive offices)</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(Zip Code)</w:t>
            </w:r>
          </w:p>
        </w:tc>
      </w:tr>
    </w:tbl>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Registrant’s telephone number, including area code: (650) 338-3533</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855" w:type="dxa"/>
        <w:jc w:val="left"/>
        <w:tblInd w:w="0" w:type="dxa"/>
        <w:tblLayout w:type="fixed"/>
        <w:tblCellMar>
          <w:top w:w="28" w:type="dxa"/>
          <w:left w:w="28" w:type="dxa"/>
          <w:bottom w:w="28" w:type="dxa"/>
          <w:right w:w="28" w:type="dxa"/>
        </w:tblCellMar>
      </w:tblPr>
      <w:tblGrid>
        <w:gridCol w:w="3196"/>
        <w:gridCol w:w="146"/>
        <w:gridCol w:w="886"/>
        <w:gridCol w:w="146"/>
        <w:gridCol w:w="348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Trading</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SEPN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Market</w:t>
            </w:r>
          </w:p>
        </w:tc>
      </w:tr>
    </w:tbl>
    <w:p>
      <w:pPr>
        <w:pStyle w:val="TextBody"/>
        <w:bidi w:val="0"/>
        <w:spacing w:before="20" w:after="283"/>
        <w:jc w:val="left"/>
        <w:rPr>
          <w:rFonts w:ascii="Times New Roman" w:hAnsi="Times New Roman"/>
          <w:color w:val="000000"/>
          <w:sz w:val="16"/>
        </w:rPr>
      </w:pPr>
      <w:r>
        <w:rPr>
          <w:rFonts w:ascii="Times New Roman" w:hAnsi="Times New Roman"/>
          <w:color w:val="000000"/>
          <w:sz w:val="16"/>
        </w:rPr>
        <w:t>Securities registered pursuant to Section 12(g) of the Act: None</w:t>
      </w:r>
    </w:p>
    <w:p>
      <w:pPr>
        <w:pStyle w:val="TextBody"/>
        <w:bidi w:val="0"/>
        <w:spacing w:before="20" w:after="283"/>
        <w:jc w:val="left"/>
        <w:rPr>
          <w:rFonts w:ascii="Times New Roman" w:hAnsi="Times New Roman"/>
          <w:sz w:val="20"/>
        </w:rPr>
      </w:pPr>
      <w:r>
        <w:rPr>
          <w:rFonts w:ascii="Times New Roman" w:hAnsi="Times New Roman"/>
          <w:color w:val="000000"/>
          <w:sz w:val="16"/>
        </w:rPr>
        <w:t>Indicate by check mark if the registrant is a well-known seasoned issuer, as defined in Rule 405 of the Securities Act.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 xml:space="preserve">☐ </w:t>
      </w:r>
    </w:p>
    <w:p>
      <w:pPr>
        <w:pStyle w:val="TextBody"/>
        <w:bidi w:val="0"/>
        <w:spacing w:before="20" w:after="283"/>
        <w:jc w:val="left"/>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Section 15(d) of the Act. 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 </w:t>
      </w:r>
    </w:p>
    <w:p>
      <w:pPr>
        <w:pStyle w:val="TextBody"/>
        <w:bidi w:val="0"/>
        <w:spacing w:before="2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 xml:space="preserve">☐ </w:t>
      </w:r>
    </w:p>
    <w:p>
      <w:pPr>
        <w:pStyle w:val="TextBody"/>
        <w:bidi w:val="0"/>
        <w:spacing w:before="2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20" w:after="283"/>
        <w:jc w:val="left"/>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438" w:type="dxa"/>
        <w:jc w:val="left"/>
        <w:tblInd w:w="0" w:type="dxa"/>
        <w:tblLayout w:type="fixed"/>
        <w:tblCellMar>
          <w:top w:w="28" w:type="dxa"/>
          <w:left w:w="28" w:type="dxa"/>
          <w:bottom w:w="28" w:type="dxa"/>
          <w:right w:w="28" w:type="dxa"/>
        </w:tblCellMar>
      </w:tblPr>
      <w:tblGrid>
        <w:gridCol w:w="1936"/>
        <w:gridCol w:w="146"/>
        <w:gridCol w:w="2356"/>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1936"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16"/>
              </w:rPr>
            </w:pPr>
            <w:r>
              <w:rPr>
                <w:rFonts w:ascii="Times New Roman" w:hAnsi="Times New Roman"/>
                <w:color w:val="000000"/>
                <w:sz w:val="16"/>
              </w:rPr>
              <w:t>Large Accelerated Filer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16"/>
              </w:rPr>
            </w:pPr>
            <w:r>
              <w:rPr>
                <w:rFonts w:ascii="Times New Roman" w:hAnsi="Times New Roman"/>
                <w:color w:val="000000"/>
                <w:sz w:val="16"/>
              </w:rPr>
              <w:t>Accelerated Filer ☐</w:t>
            </w:r>
          </w:p>
        </w:tc>
      </w:tr>
      <w:tr>
        <w:trPr/>
        <w:tc>
          <w:tcPr>
            <w:tcW w:w="1936"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16"/>
              </w:rPr>
            </w:pPr>
            <w:r>
              <w:rPr>
                <w:rFonts w:ascii="Times New Roman" w:hAnsi="Times New Roman"/>
                <w:color w:val="000000"/>
                <w:sz w:val="16"/>
              </w:rPr>
              <w:t>Non-accelerated Filer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sz w:val="20"/>
              </w:rPr>
            </w:pPr>
            <w:r>
              <w:rPr>
                <w:rFonts w:ascii="Times New Roman" w:hAnsi="Times New Roman"/>
                <w:color w:val="000000"/>
                <w:sz w:val="16"/>
              </w:rPr>
              <w:t xml:space="preserve">Smaller Reporting Company </w:t>
            </w:r>
            <w:r>
              <w:rPr>
                <w:rFonts w:ascii="Times New Roman" w:hAnsi="Times New Roman"/>
                <w:color w:val="000000"/>
                <w:sz w:val="20"/>
              </w:rPr>
              <w:t>☒</w:t>
            </w:r>
          </w:p>
        </w:tc>
      </w:tr>
      <w:tr>
        <w:trPr/>
        <w:tc>
          <w:tcPr>
            <w:tcW w:w="1936" w:type="dxa"/>
            <w:tcBorders/>
            <w:tcMar>
              <w:top w:w="0" w:type="dxa"/>
              <w:left w:w="0" w:type="dxa"/>
              <w:bottom w:w="0" w:type="dxa"/>
              <w:right w:w="0" w:type="dxa"/>
            </w:tcMar>
            <w:vAlign w:val="center"/>
          </w:tcPr>
          <w:p>
            <w:pPr>
              <w:pStyle w:val="TableContents"/>
              <w:bidi w:val="0"/>
              <w:spacing w:before="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2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color w:val="000000"/>
                <w:sz w:val="16"/>
              </w:rPr>
            </w:pPr>
            <w:r>
              <w:rPr>
                <w:rFonts w:ascii="Times New Roman" w:hAnsi="Times New Roman"/>
                <w:color w:val="000000"/>
                <w:sz w:val="16"/>
              </w:rPr>
              <w:t>Emerging Growth Company ☒</w:t>
            </w:r>
          </w:p>
        </w:tc>
      </w:tr>
    </w:tbl>
    <w:p>
      <w:pPr>
        <w:pStyle w:val="TextBody"/>
        <w:bidi w:val="0"/>
        <w:spacing w:before="60" w:after="283"/>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As of June 30, 2025, the last business day of the registrant's most recently completed second fiscal quarter, the aggregate market value of the registrant’s common stock held by non-affiliates of the registrant was approximately $363.3</w:t>
      </w:r>
      <w:r>
        <w:rPr>
          <w:rFonts w:ascii="Times New Roman" w:hAnsi="Times New Roman"/>
          <w:color w:val="000000"/>
          <w:sz w:val="20"/>
        </w:rPr>
        <w:t xml:space="preserve"> </w:t>
      </w:r>
      <w:r>
        <w:rPr>
          <w:rFonts w:ascii="Times New Roman" w:hAnsi="Times New Roman"/>
          <w:color w:val="000000"/>
          <w:sz w:val="16"/>
        </w:rPr>
        <w:t>million, based on the closing price of the registrant’s common stock on the Nasdaq Global Market of $10.57 per share as of such date. In determining the market value of non-affiliate common stock, shares of the registrant’s common stock beneficially owned by officers, directors and affiliates have been excluded. This determination of affiliate status is not necessarily a conclusive determination for other purposes.</w:t>
      </w:r>
    </w:p>
    <w:p>
      <w:pPr>
        <w:pStyle w:val="TextBody"/>
        <w:bidi w:val="0"/>
        <w:spacing w:before="60" w:after="283"/>
        <w:jc w:val="left"/>
        <w:rPr>
          <w:rFonts w:ascii="Times New Roman" w:hAnsi="Times New Roman"/>
          <w:sz w:val="20"/>
        </w:rPr>
      </w:pPr>
      <w:r>
        <w:rPr>
          <w:rFonts w:ascii="Times New Roman" w:hAnsi="Times New Roman"/>
          <w:color w:val="000000"/>
          <w:sz w:val="16"/>
        </w:rPr>
        <w:t>As of March 2, 2026, the registrant had 44,906,374</w:t>
      </w:r>
      <w:r>
        <w:rPr>
          <w:rFonts w:ascii="Times New Roman" w:hAnsi="Times New Roman"/>
          <w:color w:val="000000"/>
          <w:sz w:val="20"/>
        </w:rPr>
        <w:t xml:space="preserve"> </w:t>
      </w:r>
      <w:r>
        <w:rPr>
          <w:rFonts w:ascii="Times New Roman" w:hAnsi="Times New Roman"/>
          <w:color w:val="000000"/>
          <w:sz w:val="16"/>
        </w:rPr>
        <w:t>shares of common stock, $0.001 par value per share, outstanding.</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DOCUMENTS INCORPORATED BY REFERENCE</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Portions of the registrant’s definitive proxy statement relating to its 2026 Annual Meeting of Stockholders, to be filed with the Securities and Exchange Commission pursuant to Regulation 14A within 120 days after the end of the registrant’s fiscal year ended December 31, 2025, are incorporated by reference into Part III of this Annual Report on Form 10-K to the extent stated herein.</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42"/>
        <w:gridCol w:w="8691"/>
        <w:gridCol w:w="572"/>
      </w:tblGrid>
      <w:tr>
        <w:trPr/>
        <w:tc>
          <w:tcPr>
            <w:tcW w:w="942" w:type="dxa"/>
            <w:tcBorders/>
            <w:vAlign w:val="center"/>
          </w:tcPr>
          <w:p>
            <w:pPr>
              <w:pStyle w:val="TableContents"/>
              <w:bidi w:val="0"/>
              <w:spacing w:before="0" w:after="283"/>
              <w:jc w:val="left"/>
              <w:rPr>
                <w:sz w:val="4"/>
                <w:szCs w:val="4"/>
              </w:rPr>
            </w:pPr>
            <w:r>
              <w:rPr>
                <w:sz w:val="4"/>
                <w:szCs w:val="4"/>
              </w:rPr>
            </w:r>
          </w:p>
        </w:tc>
        <w:tc>
          <w:tcPr>
            <w:tcW w:w="869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94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9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ecial_note_regarding_forward">
              <w:r>
                <w:rPr>
                  <w:rStyle w:val="InternetLink"/>
                  <w:rFonts w:ascii="Times New Roman" w:hAnsi="Times New Roman"/>
                  <w:color w:val="0000FF"/>
                  <w:sz w:val="20"/>
                  <w:u w:val="single"/>
                </w:rPr>
                <w:t>Special Note Regarding Forward-Looking Statements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w:t>
            </w:r>
          </w:p>
        </w:tc>
      </w:tr>
      <w:tr>
        <w:trPr/>
        <w:tc>
          <w:tcPr>
            <w:tcW w:w="9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_summary">
              <w:r>
                <w:rPr>
                  <w:rStyle w:val="InternetLink"/>
                  <w:rFonts w:ascii="Times New Roman" w:hAnsi="Times New Roman"/>
                  <w:color w:val="0000FF"/>
                  <w:sz w:val="20"/>
                  <w:u w:val="single"/>
                </w:rPr>
                <w:t>Risk Factor Summary</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iv</w:t>
            </w:r>
          </w:p>
        </w:tc>
      </w:tr>
      <w:tr>
        <w:trPr/>
        <w:tc>
          <w:tcPr>
            <w:tcW w:w="94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I</w:t>
              </w:r>
            </w:hyperlink>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9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r>
      <w:tr>
        <w:trPr/>
        <w:tc>
          <w:tcPr>
            <w:tcW w:w="9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r>
      <w:tr>
        <w:trPr/>
        <w:tc>
          <w:tcPr>
            <w:tcW w:w="9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r>
      <w:tr>
        <w:trPr/>
        <w:tc>
          <w:tcPr>
            <w:tcW w:w="9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r>
      <w:tr>
        <w:trPr/>
        <w:tc>
          <w:tcPr>
            <w:tcW w:w="9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r>
      <w:tr>
        <w:trPr/>
        <w:tc>
          <w:tcPr>
            <w:tcW w:w="9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4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w:t>
              </w:r>
            </w:hyperlink>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r>
        <w:trPr/>
        <w:tc>
          <w:tcPr>
            <w:tcW w:w="9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9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r>
      <w:tr>
        <w:trPr/>
        <w:tc>
          <w:tcPr>
            <w:tcW w:w="9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and_qualitative">
              <w:r>
                <w:rPr>
                  <w:rStyle w:val="InternetLink"/>
                  <w:rFonts w:ascii="Times New Roman" w:hAnsi="Times New Roman"/>
                  <w:color w:val="0000FF"/>
                  <w:sz w:val="20"/>
                  <w:u w:val="single"/>
                </w:rPr>
                <w:t>Quantitative and Qualitative Disclosures About Market Risk</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r>
      <w:tr>
        <w:trPr/>
        <w:tc>
          <w:tcPr>
            <w:tcW w:w="9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
              <w:r>
                <w:rPr>
                  <w:rStyle w:val="InternetLink"/>
                  <w:rFonts w:ascii="Times New Roman" w:hAnsi="Times New Roman"/>
                  <w:color w:val="0000FF"/>
                  <w:sz w:val="20"/>
                  <w:u w:val="single"/>
                </w:rPr>
                <w:t>Financial Statements and Supplementary Data</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r>
      <w:tr>
        <w:trPr/>
        <w:tc>
          <w:tcPr>
            <w:tcW w:w="9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and_disagreements">
              <w:r>
                <w:rPr>
                  <w:rStyle w:val="InternetLink"/>
                  <w:rFonts w:ascii="Times New Roman" w:hAnsi="Times New Roman"/>
                  <w:color w:val="0000FF"/>
                  <w:sz w:val="20"/>
                  <w:u w:val="single"/>
                </w:rPr>
                <w:t>Changes in and Disagreements With Accountants on Accounting and Financial Disclosure</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r>
      <w:tr>
        <w:trPr/>
        <w:tc>
          <w:tcPr>
            <w:tcW w:w="9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20"/>
                  <w:u w:val="single"/>
                </w:rPr>
                <w:t>Controls and Procedures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r>
      <w:tr>
        <w:trPr/>
        <w:tc>
          <w:tcPr>
            <w:tcW w:w="9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ther_information">
              <w:r>
                <w:rPr>
                  <w:rStyle w:val="InternetLink"/>
                  <w:rFonts w:ascii="Times New Roman" w:hAnsi="Times New Roman"/>
                  <w:color w:val="0000FF"/>
                  <w:sz w:val="20"/>
                  <w:u w:val="single"/>
                </w:rPr>
                <w:t>Other Information</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r>
      <w:tr>
        <w:trPr/>
        <w:tc>
          <w:tcPr>
            <w:tcW w:w="9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
              <w:r>
                <w:rPr>
                  <w:rStyle w:val="InternetLink"/>
                  <w:rFonts w:ascii="Times New Roman" w:hAnsi="Times New Roman"/>
                  <w:color w:val="0000FF"/>
                  <w:sz w:val="20"/>
                  <w:u w:val="single"/>
                </w:rPr>
                <w:t>Disclosure Regarding Foreign Jurisdictions that Prevent Inspections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r>
      <w:tr>
        <w:trPr/>
        <w:tc>
          <w:tcPr>
            <w:tcW w:w="9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4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i">
              <w:r>
                <w:rPr>
                  <w:rStyle w:val="InternetLink"/>
                  <w:rFonts w:ascii="Times New Roman" w:hAnsi="Times New Roman"/>
                  <w:b/>
                  <w:color w:val="0000FF"/>
                  <w:sz w:val="20"/>
                  <w:u w:val="single"/>
                </w:rPr>
                <w:t>PART III.</w:t>
              </w:r>
            </w:hyperlink>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r>
      <w:tr>
        <w:trPr/>
        <w:tc>
          <w:tcPr>
            <w:tcW w:w="9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r>
      <w:tr>
        <w:trPr/>
        <w:tc>
          <w:tcPr>
            <w:tcW w:w="9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of_certain">
              <w:r>
                <w:rPr>
                  <w:rStyle w:val="InternetLink"/>
                  <w:rFonts w:ascii="Times New Roman" w:hAnsi="Times New Roman"/>
                  <w:color w:val="0000FF"/>
                  <w:sz w:val="20"/>
                  <w:u w:val="single"/>
                </w:rPr>
                <w:t>Security Ownership of Certain Beneficial Owners and Management and Related Stockholder Matters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r>
      <w:tr>
        <w:trPr/>
        <w:tc>
          <w:tcPr>
            <w:tcW w:w="9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
              <w:r>
                <w:rPr>
                  <w:rStyle w:val="InternetLink"/>
                  <w:rFonts w:ascii="Times New Roman" w:hAnsi="Times New Roman"/>
                  <w:color w:val="0000FF"/>
                  <w:sz w:val="20"/>
                  <w:u w:val="single"/>
                </w:rPr>
                <w:t>Certain Relationships and Related Transactions, and Director Independence</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r>
      <w:tr>
        <w:trPr/>
        <w:tc>
          <w:tcPr>
            <w:tcW w:w="9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_and">
              <w:r>
                <w:rPr>
                  <w:rStyle w:val="InternetLink"/>
                  <w:rFonts w:ascii="Times New Roman" w:hAnsi="Times New Roman"/>
                  <w:color w:val="0000FF"/>
                  <w:sz w:val="20"/>
                  <w:u w:val="single"/>
                </w:rPr>
                <w:t>Principal Accounting Fees and Services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r>
      <w:tr>
        <w:trPr/>
        <w:tc>
          <w:tcPr>
            <w:tcW w:w="9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4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v">
              <w:r>
                <w:rPr>
                  <w:rStyle w:val="InternetLink"/>
                  <w:rFonts w:ascii="Times New Roman" w:hAnsi="Times New Roman"/>
                  <w:b/>
                  <w:color w:val="0000FF"/>
                  <w:sz w:val="20"/>
                  <w:u w:val="single"/>
                </w:rPr>
                <w:t>PART IV.</w:t>
              </w:r>
            </w:hyperlink>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
              <w:r>
                <w:rPr>
                  <w:rStyle w:val="InternetLink"/>
                  <w:rFonts w:ascii="Times New Roman" w:hAnsi="Times New Roman"/>
                  <w:color w:val="0000FF"/>
                  <w:sz w:val="20"/>
                  <w:u w:val="single"/>
                </w:rPr>
                <w:t>Exhibits and Financial Statement Schedules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r>
      <w:tr>
        <w:trPr/>
        <w:tc>
          <w:tcPr>
            <w:tcW w:w="9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r>
      <w:tr>
        <w:trPr/>
        <w:tc>
          <w:tcPr>
            <w:tcW w:w="9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own various U.S. federal trademark filings, including a registered trademark, and possess proprietary trademark rights in our name and logo that we use in connection with the operation of our business. This Annual Report on Form 10-K (this “Annual Report”) includes our trademarks and trade names which are protected under applicable intellectual property laws and are our property. This Annual Report also contains trademarks, trade names and service marks of other companies, which are the property of their respective owners. Solely for convenience, trademarks, trade names and service marks referred to in this Annual Report may appear without the ®,  or SM symbols, but such references are not intended to indicate, in any way, that we will not assert, to the fullest extent permitted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pStyle w:val="TextBody"/>
        <w:bidi w:val="0"/>
        <w:jc w:val="both"/>
        <w:rPr>
          <w:rFonts w:ascii="Times New Roman" w:hAnsi="Times New Roman"/>
          <w:sz w:val="20"/>
        </w:rPr>
      </w:pPr>
      <w:r>
        <w:rPr>
          <w:rFonts w:ascii="Times New Roman" w:hAnsi="Times New Roman"/>
          <w:color w:val="000000"/>
          <w:sz w:val="20"/>
        </w:rPr>
        <w:t xml:space="preserve">From time to time, we may use our website, our X (formerly known as Twitter) account at Septerna_Inc and our LinkedIn account at https://www.linkedin.com/company/septernainc/ to distribute material information about us and for complying with our disclosure obligations under Regulation FD. Our financial and other material information is routinely posted to and accessible on the Investors section of our website, available at </w:t>
      </w:r>
      <w:r>
        <w:rPr>
          <w:rFonts w:ascii="Times New Roman" w:hAnsi="Times New Roman"/>
          <w:i/>
          <w:color w:val="000000"/>
          <w:sz w:val="20"/>
        </w:rPr>
        <w:t>www.Septerna.com</w:t>
      </w:r>
      <w:r>
        <w:rPr>
          <w:rFonts w:ascii="Times New Roman" w:hAnsi="Times New Roman"/>
          <w:color w:val="000000"/>
          <w:sz w:val="20"/>
        </w:rPr>
        <w:t>. Investors are encouraged to review the Investors section of our website because we may post material information on that site that is not otherwise disseminated by us. Information that is contained in and can be accessed through our website or our social media are not incorporated into, and does not form a part of, this Annual Report.</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special_note_regarding_forward"/>
      <w:bookmarkEnd w:id="2"/>
      <w:r>
        <w:rPr>
          <w:rFonts w:ascii="Times New Roman" w:hAnsi="Times New Roman"/>
          <w:b/>
          <w:color w:val="000000"/>
          <w:sz w:val="20"/>
        </w:rPr>
        <w:t>SPECIAL NOTE REGARDING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Annual Report contains express or implied forward-looking statements within the meaning of the Private Securities Litigation Reform Act of 1995, Section 27A of the Securities Act of 1933, as amended (the “Securities Act”), and Section 21E of the Securities Exchange Act of 1934, as amended (the “Exchange Act”). These statements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Annual Report include, but are not limited to,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initiation, timing, progress, results and costs of conducting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current and future programs;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potential therapeutic benefits of our product candidates, including our SEP-479 and SEP-631 programs;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our ability to demonstrate, and the timing of, preclinical proof-of-concept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and </w:t>
      </w:r>
      <w:r>
        <w:rPr>
          <w:rFonts w:ascii="Times New Roman" w:hAnsi="Times New Roman"/>
          <w:i/>
          <w:color w:val="000000"/>
          <w:sz w:val="20"/>
        </w:rPr>
        <w:t>ex vivo</w:t>
      </w:r>
      <w:r>
        <w:rPr>
          <w:color w:val="000000"/>
        </w:rPr>
        <w:t xml:space="preserve"> </w:t>
      </w:r>
      <w:r>
        <w:rPr>
          <w:rFonts w:ascii="Times New Roman" w:hAnsi="Times New Roman"/>
          <w:color w:val="000000"/>
          <w:sz w:val="20"/>
        </w:rPr>
        <w:t>for multiple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replicate positive results achieved in our preclinical studies or clinical trials in current or future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and maintain regulatory approval for our current and future product candidates and research and development programs, including our SEP-479 and SEP-631 programs, and to advance any product candidates that we may identify and successfully complete any clinical studies, including the manufacture of any such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scope and likelihood of regulatory filings and approvals, including timing of Investigational New Drug (“IND”) applications or comparable foreign applications, and final U.S. Food and Drug Administration (the “FDA”) approval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scope or likelihood of foreign regulatory filings and approvals;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implementation of our business model, and strategic plans for our business, product candidates, and technology;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relating to our competitors and our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leverage programs within our initial target indications and to progress additional programs to further develop our pipeline;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of our preclinical studies and clinical trials to demonstrate safety and efficacy of our product candidates, and other positive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partnership with Novo Nordisk A/S (“Novo”) and the intended and potential benefits thereof, including the receipt of potential milestone payments and royalty payments from commercial product sales, along with tiered royalties based on global net sales, if any;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Novo's ability to develop and commercialize potential oral small molecule therapies for metabolic-related diseases and the potential of G protein-coupled receptors, including the GLP-1, GIP, and glucagon receptors, to address the unmet medical need for treating obesity, type 2 diabetes and other related conditions;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existing collaborations and strategic partnerships, to identify and enter into future license agreements and collaborations, and to realize the intended and potential benefits of such agreements and collaborations;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rely on third-party manufacturers and successfully manufacture product candidates for preclinical use, clinical trials and on a larger scale for commercial use,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realize the benefits of collaborations for the development and commercialization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commercialize any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related to our proprietary Native Complex Platform®;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developments in the U.S. and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funding for our operations necessary to complete further development and commercialization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size and growth potential of the markets for our product candidates and our ability to serve those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need for and ability to attract and retain key scientific, management and other personnel and to identify, hire, and retain additional qualified professionals;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period during which we will remain an emerging growth company under the Jumpstart Our Business Startups Act of 2012 (“JOBS Act”);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period over which we expect our existing cash, cash equivalents and investments will be sufficient to fund our operating expenses and capital expenditure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anticipated use of our existing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financial performance and estimates of our future expenses, capital requirements, and our needs for additional financing;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macroeconomic and geopolitical developments (such as the ongoing conflict in Ukraine, and new conflicts in Iran and the Middle East) on our business, including rising inflation and capital market disruptions, changes in or disruptions of U.S. governmental agencies, whether from a future U.S. federal government shutdown or reduced resources, new or increased international tariffs and retaliatory tariffs, trade protection measures, economic sanctions and economic slowdowns or recessions that may result from such developments which could harm our research and development efforts as well as the value of our common stock and our ability to access capital markets;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risks and uncertainties, including those listed under the section titled “Risk Factors” in Part I, Item 1A of this Annual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some cases, you can identify forward-looking statements by terminology such as “may,” “might,” “will,” “could,” “would,” “should,” “expect,” “plan,” “anticipate,” “intend,” “believe,” “estimate,” “seek,” “predict,” “future,” “project,” “potential,” “continue,” “target,” “contemplate,” “possible,” “can,” or the negative of these terms or other comparable terminology, and similar expressions, although not all forward-looking statements contain these identifying words.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titled “Risk Factors” and elsewhere in this Annual Report.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Annual Report and the documents that we reference in this Annual Report and have filed with the Securities and Exchange Commission (the “SEC”) thereto completely and with the understanding that our actual future results may be materially different from any future results expressed or implied by these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forward-looking statements in this Annual Report represent our views as of the date of this Annual Report. We do not undertake any obligation to publicly update any forward-looking statement except to the extent required by applicable law. You should therefore not rely on these forward-looking statements as representing our views as of any date subsequent to the date of this Annual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Annual Report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All of the market data used in this Annual Report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Annual Report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as exhibits to this Annual Report. Unless the context otherwise requires, reference in this Annual Report to the terms “Septerna,” the “Company,” “we,” “us,” “our,” and similar designations refer to Septerna, Inc.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risk_factor_summary"/>
      <w:bookmarkEnd w:id="3"/>
      <w:r>
        <w:rPr>
          <w:rFonts w:ascii="Times New Roman" w:hAnsi="Times New Roman"/>
          <w:b/>
          <w:color w:val="000000"/>
          <w:sz w:val="20"/>
        </w:rPr>
        <w:t>SUMMARY OF MATERIAL AND OTHER RISKS ASSOCIATED WITH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business is subject to numerous risks and uncertainties and are subject to change based on various factors, including those highlighted in the section entitled “Risk Factors” and elsewhere in this Annual Report. These risks include, but are not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 limited operating history and have incurred significant operating losses since our inception and expect to incur significant losses for the foreseeable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require substantial additional funding in order to finance our operations. If we are unable to raise additional capital when needed on acceptable terms, or at all, we may be forced to delay, reduce, or terminate certain of our research and product development programs, future commercialization efforts or other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early in our development efforts. We have not successfully completed any advanced clinical trials, and as a result it will be years before we commercialize a product candidate, if ever. If we are unable to identify and advance product candidates through preclinical studies and clinical trials, obtain marketing approval and ultimately commercialize them, or experience significant delays in doing so, our business will be materially harmed.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Preclinical and clinical drug development is a lengthy and expensive process, with uncertain timelines and outcomes. If preclinical studies or clinical trials of our product candidates are prolonged or delayed, we may be unable to obtain required regulatory approvals, and therefore be unable to commercialize our therapeutic candidates or any of our future therapeutic candidates on a timely basis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encounter substantial delays in the commencement, enrollment or completion of our planned clinical trials or we may fail to demonstrate safety and efficacy to the satisfaction of applicable regulatory authorities, which could prevent us from commercializing any product candidates we determine to develop on a timely basis,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any of which would limit the commercial potential of such product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 candidates are subject to extensive regulation and compliance obligations, which is costly and time-consuming and which may cause unanticipated delays or prevent the receipt of the required approvals to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Enrollment and retention of patients in clinical trials is an expensive and time-consuming process and could be made more difficult or rendered impossible by multiple factors outside our control, which could adversely affect our business, operating results and prospects.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proprietary Native Complex Platform® is based on novel technologies that are unproven and may not result in approvable or marketable products, which exposes us to unforeseen risks and makes it difficult for us to predict the time and cost of product development and potential for regulatory approval, and we may not be successful in our efforts to expand our development portfolio of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have no marketing and sales organization and have no experience as a company in commercializing products, and we may invest significant resources to develop these capabilities. If we are unable to establish marketing, sales or distribution capabilities or enter into agreements with third parties to market and sell our products, we may not be able to generate product revenue.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any of our product candidates receive marketing approval, such product candidate may fail to achieve market acceptance by physicians, patients, third-party payors or others in the medical community necessary for commercial success, in which case we may not generate significant revenues or become profitable.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face substantial competition, which may result in others discovering, developing or commercializing products before or more successfully than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third-party manufacturers, clinical research organizations (“CROs”), contract manufacturing organizations (“CMOs”), and suppliers to supply, develop and test components of our product candidates. The loss of our third-party manufacturers, CROs, CMOs, or suppliers, their failure to comply with applicable regulatory requirements or to supply sufficient quantities at acceptable quality levels or prices, or at all, or changes in methods of product candidate manufacturing, development or formulation would materially and adversely affect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material and other risks summarized above should be read together with the text of the full risk factors and in the other information set forth in this Annual Report, including our financial statements and the related notes, as well as in other documents that we file with the SEC. If any such material and other risks and uncertainties actually occur, our business, prospects, financial condition and results of operations could be materially and adversely affected. The risks summarized above or described in full are not the only risks that we face. Additional risks and uncertainties not currently known to us, or that we currently deem to be immaterial may also materially adversely affect our business, prospects,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part_i"/>
      <w:bookmarkEnd w:id="4"/>
      <w:r>
        <w:rPr>
          <w:rFonts w:ascii="Times New Roman" w:hAnsi="Times New Roman"/>
          <w:b/>
          <w:color w:val="000000"/>
          <w:sz w:val="20"/>
        </w:rPr>
        <w:t>PART I</w:t>
      </w:r>
    </w:p>
    <w:p>
      <w:pPr>
        <w:pStyle w:val="TextBody"/>
        <w:bidi w:val="0"/>
        <w:spacing w:before="240" w:after="283"/>
        <w:jc w:val="left"/>
        <w:rPr>
          <w:rFonts w:ascii="Times New Roman" w:hAnsi="Times New Roman"/>
          <w:sz w:val="20"/>
        </w:rPr>
      </w:pPr>
      <w:bookmarkStart w:id="5" w:name="item_1_financial_statements"/>
      <w:bookmarkEnd w:id="5"/>
      <w:r>
        <w:rPr>
          <w:rFonts w:ascii="Times New Roman" w:hAnsi="Times New Roman"/>
          <w:b/>
          <w:color w:val="000000"/>
          <w:sz w:val="20"/>
        </w:rPr>
        <w:t>Item 1. Bu</w:t>
      </w:r>
      <w:bookmarkStart w:id="6" w:name="item_1_business"/>
      <w:bookmarkEnd w:id="6"/>
      <w:r>
        <w:rPr>
          <w:rFonts w:ascii="Times New Roman" w:hAnsi="Times New Roman"/>
          <w:b/>
          <w:color w:val="000000"/>
          <w:sz w:val="20"/>
        </w:rPr>
        <w:t>siness.</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clinical-stage biotechnology company pioneering a new era of G protein-coupled receptor (“GPCR”) oral small molecule drug discovery powered by our proprietary Native Complex Platform®. Our industrial-scale platform aims to unlock the full potential of GPCR therapies and has led to the discovery and development of our deep pipeline of product candidates focused initially on treating patients in three therapeutic areas: endocrinology, immunology and inflammation, and metabolic diseases.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GPCRs are the largest and most diverse family of cell membrane receptors and regulate physiological processes in nearly every organ system of the human body. Due to their significant role in human diseases, GPCRs have been the most productive target class in drug discovery history, accounting for approximately one-third of all FDA-approved drugs, representing approximately 500 products with combined global revenue of approximately $125 billion in 2023. Despite the pharmacological and commercial success of GPCR-targeted agents, about 75% of potential GPCR therapeutic targets remain undrugged. For certain validated GPCRs, novel binding pockets may exist that could offer enhanced therapeutic benefits. Each step in GPCR activation involves subtle conformational changes that have been historically challenging to reproduce outside of a cell. The inability to isolate GPCR proteins in their native functional form outside of a cellular context has prevented scientists from leveraging some of the state-of-the-art technologies that have revolutionized drug discovery in other major target classes over the past decade. This complex challenge has limited GPCR drug discovery, particularly the development of novel oral small molecules, such as agonists for peptide GPCRs and allosteric modulators.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proprietary Native Complex Platform® replicates the natural structure, function, and dynamics of GPCRs outside of cells at an industrial scale for, as we believe it, the first time. Our foundational technologies enable us to isolate, purify, and reconstitute full-length, properly folded GPCR proteins within ternary complexes with ligands and transducer proteins in a lipid bilayer that mimics the cell membrane. We then apply state-of-the-art discovery tools and technologies to these defined and tunable protein complexes to structurally design, screen for, and optimize potential product candidates. Leveraging our platform, we conduct GPCR oral small molecule drug discovery using an industrialized and iterative structure-based drug design approach for a diverse collection of GPCR targets. Our Native Complex Platform® is designed to enable us to target specific GPCRs, uncover novel binding pockets for validated receptors, and pursue a wide spectrum of pharmacologies, including agonists (which activate GPCR signaling), antagonists (which inhibit GPCR signaling), and allosteric modulators (which either increase or decrease the degree of GPCR activation by endogenous ligands) to affect GPCR signaling in different ways to achieve desired therapeutic effects.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advancing a deep portfolio of oral small molecule GPCR-targeted programs with novel mechanistic approaches to treat diseases across multiple therapeutic areas for patients with significant unmet needs. Our wholly-owned pipeline is focused initially on three therapeutic areas: endocrinology, immunology and inflammation, and metabolic diseases. We intend to evaluate opportunities in other major therapeutic areas, such as neurology, women’s health, cardiovascular, and respiratory disease.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GPCRs as Therapeutic Targets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GPCRs regulate physiological processes in nearly every organ system of the human body and are the most targeted drug class due to their significant role in human diseases and their pharmacological tractability. Nearly one-third of all FDA-approved drugs in the United States, representing approximately 500 products, target GPCR-associated pathways. In fact, GPCR-related drugs comprise approximately 27% of global pharmaceutical sales.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GPCRs are proteins that span the cell membrane seven times, and their primary function is to recognize extracellular substances, or ligands, and transmit signals across the cell membrane to the inside of the cell. Ligand binding induces conformational changes in GPCRs, forming complexes with signal transducers, including G proteins. These transducers interact with second messengers, modulating various cellular processes. Certain GPCR ligands are capable of activating multiple pathways through different transducers, leading to diverse physiological and pathological effects.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GPCRs constitute the largest and most diverse family of cell membrane receptors, with around 800 identified members. GPCRs are key therapeutic targets due to their vital roles in a variety of physiologic processes including immune regulation, nervous system transmission, mood and behavior regulation, sensory transmission, and maintaining cardiovascular and gastrointestinal homeostasis. Despite the pharmacological and commercial success of GPCR-targeted agents, a majority of GPCR therapeutic targets remain undrugged. Each step in GPCR activation involves subtle conformational changes that have been historically challenging to reproduce outside of a cell. The inability to isolate GPCR proteins in their native functional form outside of a cellular context has prevented scientists from leveraging some of the state-of-the-art technologies that have revolutionized drug discovery in other major target classes over the past decade. This complex challenge has limited GPCR drug discovery, particularly the development of novel oral small molecules, such as agonists for peptide GPCRs and allosteric modulators.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To date, drug discovery has been highly concentrated on a small number of GPCRs. More than 70% of current GPCR-related drugs target only six subfamilies of GPCRs. There are about 400 known non-olfactory GPCRs, each represented as a branch on the phylogenetic tree in </w:t>
      </w:r>
      <w:r>
        <w:rPr>
          <w:rFonts w:ascii="Times New Roman" w:hAnsi="Times New Roman"/>
          <w:b/>
          <w:color w:val="000000"/>
          <w:sz w:val="20"/>
        </w:rPr>
        <w:t>Figure 1</w:t>
      </w:r>
      <w:r>
        <w:rPr>
          <w:rFonts w:ascii="Times New Roman" w:hAnsi="Times New Roman"/>
          <w:color w:val="000000"/>
          <w:sz w:val="20"/>
        </w:rPr>
        <w:t xml:space="preserve"> below.</w:t>
      </w:r>
    </w:p>
    <w:p>
      <w:pPr>
        <w:pStyle w:val="TextBody"/>
        <w:bidi w:val="0"/>
        <w:jc w:val="both"/>
        <w:rPr/>
      </w:pPr>
      <w:r>
        <w:rPr/>
        <w:t> </w:t>
      </w:r>
    </w:p>
    <w:p>
      <w:pPr>
        <w:pStyle w:val="TextBody"/>
        <w:bidi w:val="0"/>
        <w:jc w:val="center"/>
        <w:rPr/>
      </w:pPr>
      <w:r>
        <w:rPr/>
        <w:drawing>
          <wp:inline distT="0" distB="0" distL="0" distR="0">
            <wp:extent cx="3038475" cy="2114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38475" cy="2114550"/>
                    </a:xfrm>
                    <a:prstGeom prst="rect">
                      <a:avLst/>
                    </a:prstGeom>
                  </pic:spPr>
                </pic:pic>
              </a:graphicData>
            </a:graphic>
          </wp:inline>
        </w:drawing>
      </w:r>
    </w:p>
    <w:p>
      <w:pPr>
        <w:pStyle w:val="TextBody"/>
        <w:bidi w:val="0"/>
        <w:spacing w:before="120" w:after="283"/>
        <w:jc w:val="both"/>
        <w:rPr>
          <w:rFonts w:ascii="Times New Roman" w:hAnsi="Times New Roman"/>
          <w:sz w:val="20"/>
        </w:rPr>
      </w:pPr>
      <w:r>
        <w:rPr>
          <w:rFonts w:ascii="Times New Roman" w:hAnsi="Times New Roman"/>
          <w:b/>
          <w:color w:val="000000"/>
          <w:sz w:val="20"/>
        </w:rPr>
        <w:t xml:space="preserve">Figure 1. </w:t>
      </w:r>
      <w:r>
        <w:rPr>
          <w:rFonts w:ascii="Times New Roman" w:hAnsi="Times New Roman"/>
          <w:color w:val="000000"/>
          <w:sz w:val="20"/>
        </w:rPr>
        <w:t>GPCR phylogenetic tree highlighting the number of FDA-approved drugs for each GPCR as of February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Today, approximately 75% of potential GPCR therapeutic targets remain undrugged, representing significant opportunity to address a vast range of therapeutic areas and diseases. And, even for certain validated GPCRs, novel binding pockets may exist that could offer enhanced therapeutic benefits.</w:t>
      </w:r>
    </w:p>
    <w:p>
      <w:pPr>
        <w:pStyle w:val="TextBody"/>
        <w:bidi w:val="0"/>
        <w:spacing w:before="120" w:after="283"/>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Our Native Complex Platform®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past decade, drug discovery across various target classes has been revolutionized by state-of-the-art tools and technologies, including structure-based drug design, computational docking, and DNA-encoded libraries (“DELs”). However, the utilization of these technologies has been limited for discovering oral small molecules targeting GPCRs due to the inability to isolate functional native GPCR proteins outside of a cellular context.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 our proprietary Native Complex Platform®, we can purify GPCRs outside of cells and reconstitute them into fully functional ternary complexes with transducer proteins (e.g., G proteins, beta-arrestins) and ligands (endogenous or synthetic), all housed within a well-defined lipid bilayer environment. These Native Complexes are full-length, properly folded GPCRs that retain their natural structure, function, and dynamics. We then apply state-of-the-art discovery tools and technologies to these defined and tunable protein complexes to structurally design, screen for, and optimize potential product candidates. Leveraging our platform, we are advancing a new approach to GPCR drug discovery, designed to expand the landscape of druggable GPCR targets with novel oral small molecule medicines for patients.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Native Complex Platform® is powered by a suite of tools and technologies that we have optimized and integrated into a proprietary and industrialized workflow, forming an efficient and iterative discovery process for identification and optimization of novel small molecule product candidates targeting high-value GPCRs, including:</w:t>
      </w:r>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Native Complex biochemistry and structural biology:</w:t>
      </w:r>
      <w:r>
        <w:rPr>
          <w:color w:val="000000"/>
        </w:rPr>
        <w:t xml:space="preserve"> </w:t>
      </w:r>
      <w:r>
        <w:rPr>
          <w:rFonts w:ascii="Times New Roman" w:hAnsi="Times New Roman"/>
          <w:color w:val="000000"/>
          <w:sz w:val="20"/>
        </w:rPr>
        <w:t>Our Native Complexes reconstitute native GPCR function in a purified biochemical format, enabling efficient high-resolution, three-dimensional structure determination using cryogenic electron microscopy (“cryo-EM”). This reveals receptor binding pockets that we can target with a range of pharmacologies (e.g., agonists, antagonists, and allosteric modulators) as well as novel insights into mechanisms for GPCR modulation.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Native Complex-driven hit identification and optimization:</w:t>
      </w:r>
      <w:r>
        <w:rPr>
          <w:color w:val="000000"/>
        </w:rPr>
        <w:t xml:space="preserve"> </w:t>
      </w:r>
      <w:r>
        <w:rPr>
          <w:rFonts w:ascii="Times New Roman" w:hAnsi="Times New Roman"/>
          <w:color w:val="000000"/>
          <w:sz w:val="20"/>
        </w:rPr>
        <w:t>We virtually screen our GPCR structures against ultra-large-scale computational databases containing billions of candidate molecules to identify the most promising small molecule compounds that bind in pockets on the GPCR structure. We use technologies, including DELs, to screen billions of candidate molecules simultaneously and have developed proprietary technologies to discover and optimize compounds with a variety of modes of action. Additionally, we use our proprietary Native Complex biochemical screens in our hit identification and optimization processes.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Advanced cellular and in vivo pharmacology models:</w:t>
      </w:r>
      <w:r>
        <w:rPr>
          <w:color w:val="000000"/>
        </w:rPr>
        <w:t xml:space="preserve"> </w:t>
      </w:r>
      <w:r>
        <w:rPr>
          <w:rFonts w:ascii="Times New Roman" w:hAnsi="Times New Roman"/>
          <w:color w:val="000000"/>
          <w:sz w:val="20"/>
        </w:rPr>
        <w:t xml:space="preserve">We efficiently evaluate hits and lead compounds through the integration of advanced cellular and in vivo pharmacology models. Prioritized compounds with desired pharmacologies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either advanced as potential drug candidates or fed back into the process for additional Native Complex-driven compound optimization.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oral small molecule drug discovery process, powered by our proprietary Native Complex Platform®, is depicted in the figure below. </w:t>
      </w:r>
    </w:p>
    <w:p>
      <w:pPr>
        <w:pStyle w:val="TextBody"/>
        <w:bidi w:val="0"/>
        <w:jc w:val="left"/>
        <w:rPr/>
      </w:pPr>
      <w:r>
        <w:rPr/>
        <w:t> </w:t>
      </w:r>
    </w:p>
    <w:p>
      <w:pPr>
        <w:pStyle w:val="TextBody"/>
        <w:bidi w:val="0"/>
        <w:spacing w:before="120" w:after="283"/>
        <w:jc w:val="center"/>
        <w:rPr/>
      </w:pPr>
      <w:r>
        <w:rPr/>
        <w:drawing>
          <wp:inline distT="0" distB="0" distL="0" distR="0">
            <wp:extent cx="4810125" cy="2543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10125" cy="2543175"/>
                    </a:xfrm>
                    <a:prstGeom prst="rect">
                      <a:avLst/>
                    </a:prstGeom>
                  </pic:spPr>
                </pic:pic>
              </a:graphicData>
            </a:graphic>
          </wp:inline>
        </w:drawing>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industrial-scale Native Complex Platform® is designed to target certain GPCRs for the first time, uncover novel binding pockets for validated receptors, and pursue a wide spectrum of pharmacologies to achieve desired therapeutic effects. Our platform has led to the discovery and development of a pipeline of novel, highly potent and selective oral small molecules, and for our most advanced programs, optimized them into clinical development candidates.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Strategy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goal is to develop life-changing GPCR-targeted medicines for patients with significant unmet medical needs. We plan to achieve this goal by efficiently advancing our portfolio of GPCR-targeted programs, continuing to expand our differentiated GPCR-targeted pipeline focused on indications with significant unmet needs, maximizing the potential of our Native Complex Platform® through continued innovation and investment, and evaluating potential value-creating strategic partnerships.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Portfolio Opportunities Targeting the Full Breadth of GPCRs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are significant unmet medical needs across numerous GPCR-driven diseases. Our portfolio is focused initially on three therapeutic areas with the potential to expand to additional therapeutic areas in the future: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Endocrinology</w:t>
      </w:r>
      <w:r>
        <w:rPr>
          <w:rFonts w:ascii="Times New Roman" w:hAnsi="Times New Roman"/>
          <w:i/>
          <w:color w:val="000000"/>
          <w:sz w:val="20"/>
        </w:rPr>
        <w:t>:</w:t>
      </w:r>
      <w:r>
        <w:rPr>
          <w:color w:val="000000"/>
        </w:rPr>
        <w:t xml:space="preserve"> </w:t>
      </w:r>
      <w:r>
        <w:rPr>
          <w:rFonts w:ascii="Times New Roman" w:hAnsi="Times New Roman"/>
          <w:color w:val="000000"/>
          <w:sz w:val="20"/>
        </w:rPr>
        <w:t>The endocrine system involves glands that secrete hormones into the bloodstream that have effects on other tissues. Central to this system are GPCRs, which serve as primary receptors for many circulating hormones. GPCR biology is at the center of endocrine diseases, such as hypoparathyroidism and Graves’ disease, highlighting the urgency for therapeutic interventions targeting GPCR-mediated endocrine disorders. Other endocrine disorders, like osteoporosis, impacts more than 10 million older adults in the United States and could benefit from a small molecule GPCR-directed therapy to help rebuild bone mass.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Immunology &amp; inflammation</w:t>
      </w:r>
      <w:r>
        <w:rPr>
          <w:rFonts w:ascii="Times New Roman" w:hAnsi="Times New Roman"/>
          <w:i/>
          <w:color w:val="000000"/>
          <w:sz w:val="20"/>
        </w:rPr>
        <w:t>:</w:t>
      </w:r>
      <w:r>
        <w:rPr>
          <w:color w:val="000000"/>
        </w:rPr>
        <w:t xml:space="preserve"> </w:t>
      </w:r>
      <w:r>
        <w:rPr>
          <w:rFonts w:ascii="Times New Roman" w:hAnsi="Times New Roman"/>
          <w:color w:val="000000"/>
          <w:sz w:val="20"/>
        </w:rPr>
        <w:t>GPCRs serve as key signaling molecules in various cellular processes, including involvement in the regulation of immune responses and the activation of immune cells such as macrophages, T cells, and dendritic cells. Upon activation by extracellular ligands, GPCRs initiate intracellular signaling cascades that modulate cytokine production, leukocyte trafficking, and inflammatory mediator release. Dysregulation of GPCR signaling pathways is implicated in numerous inflammatory and autoimmune diseases, such as chronic spontaneous urticaria (“CSU”), making them attractive targets for therapeutic intervention.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Metabolic diseases</w:t>
      </w:r>
      <w:r>
        <w:rPr>
          <w:rFonts w:ascii="Times New Roman" w:hAnsi="Times New Roman"/>
          <w:i/>
          <w:color w:val="000000"/>
          <w:sz w:val="20"/>
        </w:rPr>
        <w:t>:</w:t>
      </w:r>
      <w:r>
        <w:rPr>
          <w:color w:val="000000"/>
        </w:rPr>
        <w:t xml:space="preserve"> </w:t>
      </w:r>
      <w:r>
        <w:rPr>
          <w:rFonts w:ascii="Times New Roman" w:hAnsi="Times New Roman"/>
          <w:color w:val="000000"/>
          <w:sz w:val="20"/>
        </w:rPr>
        <w:t xml:space="preserve">GPCRs are known to regulate various physiological processes such as energy metabolism, glucose homeostasis, and lipid metabolism. These receptors are involved in sensing nutrients, hormones, and other signaling molecules, thereby influencing appetite, insulin secretion, and lipid storage. Dysregulation of GPCR signaling pathways is associated with metabolic disorders, such as obesity and type-2 diabetes (“T2D”). For instance, GPCRs like adrenergic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receptors regulate lipolysis and thermogenesis, while receptors such as the GLP-1 receptor modulate insulin secretion and satiety. Targeting GPCRs is a clinically and commercially validated approach for the development of therapeutics that manage metabolic disorders, offering the potential to manage glucose levels, promote weight loss, and improve metabolic health.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Beyond our initial therapeutic areas of focus, we intend to evaluate opportunities in additional therapeutic areas where GPCRs are directly connected to disease pathology, including in areas of neurology, women’s health, cardiovascular disease, and respiratory disease.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Pipeline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advancing a deep portfolio of highly potent and selective oral small molecule GPCR-targeted programs with novel mechanistic approaches to treat diseases across multiple therapeutic areas for patients with significant unmet needs. Our wholly-owned pipeline is focused initially on three therapeutic areas – endocrinology, immunology and inflammation, and metabolic diseases – and is summarized in the figure below. </w:t>
      </w:r>
    </w:p>
    <w:p>
      <w:pPr>
        <w:pStyle w:val="TextBody"/>
        <w:bidi w:val="0"/>
        <w:jc w:val="both"/>
        <w:rPr/>
      </w:pPr>
      <w:r>
        <w:rPr/>
        <w:t> </w:t>
      </w:r>
    </w:p>
    <w:p>
      <w:pPr>
        <w:pStyle w:val="TextBody"/>
        <w:bidi w:val="0"/>
        <w:jc w:val="center"/>
        <w:rPr/>
      </w:pPr>
      <w:r>
        <w:rPr/>
        <w:drawing>
          <wp:inline distT="0" distB="0" distL="0" distR="0">
            <wp:extent cx="6858000" cy="3286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3286125"/>
                    </a:xfrm>
                    <a:prstGeom prst="rect">
                      <a:avLst/>
                    </a:prstGeom>
                  </pic:spPr>
                </pic:pic>
              </a:graphicData>
            </a:graphic>
          </wp:inline>
        </w:drawing>
      </w:r>
    </w:p>
    <w:p>
      <w:pPr>
        <w:pStyle w:val="TextBody"/>
        <w:bidi w:val="0"/>
        <w:jc w:val="center"/>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target selection process considers the validation level of the GPCR and existing preclinical and/or clinical data demonstrating desired biological outcomes upon target modulation for a variety of different indications. We have prioritized indications with well-defined biomarkers to streamline the path to clinical proof-of-concept data, high unmet medical need and significant market opportunities. When analogous molecules exist that are approved or in clinical development, we explore differentiation opportunities and leverage our Native Complex Platform® to address known limitations. We also leverage regulatory insights from established precedents to guide each program’s development strategy. As we expand our portfolio of GPCR-targeted programs, we will continue to focus on targets and indications with well-understood biology, predictive biomarkers for early proof-of-concept, efficient clinical development pathways, and high unmet medical need. We are building a deep portfolio comprised of programs that we can independently develop and commercialize upon regulatory approval, alongside select programs that may benefit from the development and commercial expertise, infrastructure and financial support of a strategic partner.</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PTH1R Program: Oral Small Molecule PTH1R Agonist for Hypoparathyroidism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developing novel, oral small molecule Parathyroid Hormone 1 Receptor (“PTH1R”) agonists for the treatment of hypoparathyroidism. While there are PTH peptide products approved and in development for hypoparathyroidism that target PTH1R, to our knowledge, we have the most advanced and comprehensive oral small molecule PTH1R agonist program. We believe our PTH1R agonists offer potent and selective activation of PTH1R, a GPCR highly involved in blood calcium control, with the potential to achieve sustained normalization of serum calcium and phosphate upon once-daily or twice-daily oral dosing.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third quarter of 2024, we initiated a Phase 1 single- and multiple-ascending dose (“SAD/MAD”) clinical trial of SEP-786 in healthy volunteers. SEP-786 is an oral small molecule PTH1R agonist product candidate that was being developed for the treatment of hypoparathyroidism. On February 18, 2025, we announced our decision to discontinue the development of SEP-786 and advance a next-generation oral small molecule PTH1R agonist. This decision followed the observation of two unanticipated severe (Grade 3) events of elevated unconjugated bilirubin in the MAD portion of the Phase 1 trial, both of which were without elevations in alanine aminotransferase, aspartate aminotransferase, and gamma-glutamyl transferase liver enzyme levels. Dosing was discontinued for both study participants, and the bilirubin elevations were reversible. There were no events of liver injury, cholestasis, or hemolysis across all participants, and there were no serious adverse events (“SAEs”) in the Phase 1 trial. In completed 28-day preclinical toxicology studies in rats and dogs, SEP-786 was generally well-tolerated, without predicted risk of bilirubin elevation. We observed early signals of on-target pharmacology in the MAD portion of the trial including initial increases in serum calcium and decreases in endogenous parathyroid hormone levels. In September 2025, we announced the findings from our post-discontinuation investigation that SEP-786 was a potent UGT1A1 inhibitor, which is a mechanism known to be associated with increases in unconjugated bilirubin. In a follow-up cynomolgus monkey study of SEP-786, conducted after clinical discontinuation, we also observed elevated unconjugated bilirubin levels.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announced in September 2025 that we had selected a new PTH1R development candidate, SEP-479. We presented preclinical data for SEP-479 from a translational rat thyroparathyroidectomy model demonstrating that SEP-479 achieved sustained normalization of serum calcium and phosphate levels over a 28-day dosing period. We also conducted a seven-day pharmacokinetic (“PK”) / pharmacodynamic (“PD”) study of SEP-479 in healthy cynomolgus monkeys, which showed robust, dose-dependent increases in serum calcium and decreases in endogenous parathyroid hormone levels across multiple dose levels of SEP-479. We observed no significant inhibition of UGT1A1 or other transporters for SEP-479 and no hyperbilirubinemia in any of the non-clinical studies to date for SEP-479, including the 7-day and 28-day GLP toxicology studies in healthy cynomolgus monkeys. SEP-479 was generally well-tolerated in 28-day GLP toxicology studies in rats, dogs and cynomolgus monkeys. In the first half of 2026, we plan to initiate a placebo-controlled, SAD and MAD Phase 1 clinical trial in Australia, pending the successful completion of regulatory submissions. We anticipate announcing topline data from this Phase 1 clinical trial around the end of 2026 or early 2027.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Overview of Hypoparathyroidism</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Disease Background and Role of PTH1R</w:t>
      </w:r>
    </w:p>
    <w:p>
      <w:pPr>
        <w:pStyle w:val="TextBody"/>
        <w:bidi w:val="0"/>
        <w:jc w:val="both"/>
        <w:rPr>
          <w:rFonts w:ascii="Times New Roman" w:hAnsi="Times New Roman"/>
          <w:color w:val="000000"/>
          <w:sz w:val="20"/>
        </w:rPr>
      </w:pPr>
      <w:r>
        <w:rPr>
          <w:rFonts w:ascii="Times New Roman" w:hAnsi="Times New Roman"/>
          <w:color w:val="000000"/>
          <w:sz w:val="20"/>
        </w:rPr>
        <w:t>Hypoparathyroidism is a rare endocrine disease characterized by insufficient levels of parathyroid hormone (“PTH”) that affects approximately 70,000 patients in the United States and 140,000 patients in Europe. PTH is a critical hormone for calcium and phosphate homeostasis and functions through activation of PTH1R. Under normal physiological conditions, PTH is released from the parathyroid glands when circulating calcium levels are reduced and will act on PTH1R expressed on bone and kidney cells to increase calcium levels. Most patients with hypoparathyroidism develop the condition following damage to or loss of the parathyroid glands during thyroid surgery, while other etiologies include autoimmune and genetic disorders. Patients with hypoparathyroidism are at risk of both short-term and long-term complications and comorbidities, such as tingling, muscle cramps and weakness, fatigue, cataracts, and in severe cases can lead to life-threatening complications including abnormal heart rhythms and seizures. Chronic hypoparathyroidism is associated with cognitive and emotional symptoms, such as mental lethargy, inability to concentrate, memory loss or forgetfulness, anxiety, and depression. Many patients experience persistent symptoms that negatively impact quality of life and reduce work productivity.</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Current Treatment Options and Their Limitations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standard treatment for hypoparathyroidism includes high-dose calcium supplements several times a day and activated vitamin D (calcitriol) which aim to correct serum calcium levels; however, these therapies do not replace other functions of PTH to restore physiological mineral homeostasis, and they can lead to long-term complications, including soft-tissue calcifications and impaired renal function. Hormone replacement therapy with injectable PTH peptides is designed to sustain PTH in the normal physiological range, thereby more fully addressing the underlying condition. An injectable PTH peptide, palopegteriparatide (marketed as Yorvipath by Ascendis Pharma), was approved in Europe in 2023 and in the United States in 2024; however, it will require life-long daily injections.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Solution: Oral Small Molecule PTH1R Agonist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Our Program Strategy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believe there is an unmet need for an oral small molecule PTH1R agonist that offers hypoparathyroidism patients a convenient, more physiological treatment option. Since conventional therapies, such as calcium and vitamin D, have limitations and do not restore other actions of PTH, such as release of bone calcium or renal calcium reabsorption, we believe an oral option that can increase serum calcium and replace the other functions of PTH is needed for patients. Our potent and selective PTH1R agonists are designed to address all patients with hypoparathyroidism. This includes the most severe patients, who may start injectable PTH peptide therapy, as well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mild-to-moderate patients who are currently on high doses of calcium and vitamin D and may be less interested in an injectable PTH peptide treatment.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our Native Complex Platform® affords us the opportunity to continuously discover and optimize oral small molecule PTH1R agonists in addition to the lead compounds we have already identified. We may develop additional molecules for hypoparathyroidism or for other indications where PTH1R agonists can address disease pathology, such as osteoporosis.</w:t>
      </w:r>
    </w:p>
    <w:p>
      <w:pPr>
        <w:pStyle w:val="TextBody"/>
        <w:bidi w:val="0"/>
        <w:spacing w:before="360" w:after="283"/>
        <w:jc w:val="both"/>
        <w:rPr>
          <w:rFonts w:ascii="Times New Roman" w:hAnsi="Times New Roman"/>
          <w:sz w:val="20"/>
        </w:rPr>
      </w:pPr>
      <w:r>
        <w:rPr>
          <w:rFonts w:ascii="Times New Roman" w:hAnsi="Times New Roman"/>
          <w:i/>
          <w:color w:val="000000"/>
          <w:sz w:val="20"/>
        </w:rPr>
        <w:t>Discovery and Preclinical Activity of Small Molecule PTH1R Agonists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Native Complex Platform® was applied to PTH1R and yielded multiple tractable chemical series of small molecule PTH1R agonists with distinct binding sites. Iterative structure-based design has led to multiple lead compounds from different chemical series. In September 2025, we announced that we had selected SEP-479 as the lead compound that we plan to advance into clinical development in the first half of 2026, pending the successful completion of drug product manufacturing and regulatory submissions. SEP-479 was generated from a chemical series that is unrelated to the chemical series from which we generated SEP-786.</w:t>
      </w:r>
    </w:p>
    <w:p>
      <w:pPr>
        <w:pStyle w:val="TextBody"/>
        <w:bidi w:val="0"/>
        <w:spacing w:before="120" w:after="283"/>
        <w:jc w:val="both"/>
        <w:rPr>
          <w:rFonts w:ascii="Times New Roman" w:hAnsi="Times New Roman"/>
          <w:sz w:val="20"/>
        </w:rPr>
      </w:pPr>
      <w:r>
        <w:rPr>
          <w:rFonts w:ascii="Times New Roman" w:hAnsi="Times New Roman"/>
          <w:color w:val="000000"/>
          <w:sz w:val="20"/>
        </w:rPr>
        <w:t>We have assessed SEP-479’s potency and selective activation of PTH1R in human, dog, and rat receptor cell-based assays. In vivo, we have demonstrated that SEP-479 showed activity in a translational rat thyroparathyroidectomy (“TPTx”) model of hypoparathyroidism (</w:t>
      </w:r>
      <w:r>
        <w:rPr>
          <w:rFonts w:ascii="Times New Roman" w:hAnsi="Times New Roman"/>
          <w:b/>
          <w:color w:val="000000"/>
          <w:sz w:val="20"/>
        </w:rPr>
        <w:t>Figure 2.A</w:t>
      </w:r>
      <w:r>
        <w:rPr>
          <w:rFonts w:ascii="Times New Roman" w:hAnsi="Times New Roman"/>
          <w:color w:val="000000"/>
          <w:sz w:val="20"/>
        </w:rPr>
        <w:t>). In this model, surgical removal of the parathyroid glands replicates the human disease of hypoparathyroidism with a reduction in serum calcium below the normal range and an increase in serum phosphate levels above the normal range. To assess the activity of SEP-479, we dosed the TPTx rats with SEP-479 once-daily and analyzed the dose-dependent increases in serum calcium and decreases in serum phosphate allowing for an assessment of compound activity and PK/PD relationships.</w:t>
      </w:r>
    </w:p>
    <w:p>
      <w:pPr>
        <w:pStyle w:val="TextBody"/>
        <w:bidi w:val="0"/>
        <w:spacing w:before="120" w:after="283"/>
        <w:jc w:val="both"/>
        <w:rPr>
          <w:rFonts w:ascii="Times New Roman" w:hAnsi="Times New Roman"/>
          <w:sz w:val="20"/>
        </w:rPr>
      </w:pPr>
      <w:r>
        <w:rPr>
          <w:rFonts w:ascii="Times New Roman" w:hAnsi="Times New Roman"/>
          <w:color w:val="000000"/>
          <w:sz w:val="20"/>
        </w:rPr>
        <w:t>In a 28-day repeat dose study (</w:t>
      </w:r>
      <w:r>
        <w:rPr>
          <w:rFonts w:ascii="Times New Roman" w:hAnsi="Times New Roman"/>
          <w:b/>
          <w:color w:val="000000"/>
          <w:sz w:val="20"/>
        </w:rPr>
        <w:t>Figure 2.B and C</w:t>
      </w:r>
      <w:r>
        <w:rPr>
          <w:rFonts w:ascii="Times New Roman" w:hAnsi="Times New Roman"/>
          <w:color w:val="000000"/>
          <w:sz w:val="20"/>
        </w:rPr>
        <w:t xml:space="preserve">), SEP-479 was dosed at 0.15 mg/kg orally once-daily which led to sustained increases in serum calcium to within the normal range and normalized serum phosphate levels over the entire 28-day dosing period. </w:t>
      </w:r>
    </w:p>
    <w:p>
      <w:pPr>
        <w:pStyle w:val="TextBody"/>
        <w:bidi w:val="0"/>
        <w:spacing w:before="120" w:after="283"/>
        <w:jc w:val="center"/>
        <w:rPr/>
      </w:pPr>
      <w:r>
        <w:rPr/>
        <w:drawing>
          <wp:inline distT="0" distB="0" distL="0" distR="0">
            <wp:extent cx="5353050" cy="3819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353050" cy="3819525"/>
                    </a:xfrm>
                    <a:prstGeom prst="rect">
                      <a:avLst/>
                    </a:prstGeom>
                  </pic:spPr>
                </pic:pic>
              </a:graphicData>
            </a:graphic>
          </wp:inline>
        </w:drawing>
      </w:r>
    </w:p>
    <w:p>
      <w:pPr>
        <w:pStyle w:val="TextBody"/>
        <w:bidi w:val="0"/>
        <w:spacing w:before="120" w:after="283"/>
        <w:jc w:val="both"/>
        <w:rPr>
          <w:rFonts w:ascii="Times New Roman" w:hAnsi="Times New Roman"/>
          <w:sz w:val="20"/>
        </w:rPr>
      </w:pPr>
      <w:r>
        <w:rPr>
          <w:rFonts w:ascii="Times New Roman" w:hAnsi="Times New Roman"/>
          <w:b/>
          <w:color w:val="000000"/>
          <w:sz w:val="20"/>
        </w:rPr>
        <w:t>Figure 2.</w:t>
      </w:r>
      <w:r>
        <w:rPr>
          <w:rFonts w:ascii="Times New Roman" w:hAnsi="Times New Roman"/>
          <w:color w:val="000000"/>
          <w:sz w:val="20"/>
        </w:rPr>
        <w:t xml:space="preserve"> (A) Rat hypoparathyroidism disease model (thyroid-parathyroidectomy model, TPTx). (B) Repeat once-daily oral dosing of SEP-479 in the TPTx model showed sustained calcium and phosphate control over 28 days of dosing. PO = oral; QD = once-daily.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In a 7-day repeat-dose healthy cynomolgus monkey PD study (</w:t>
      </w:r>
      <w:r>
        <w:rPr>
          <w:rFonts w:ascii="Times New Roman" w:hAnsi="Times New Roman"/>
          <w:b/>
          <w:color w:val="000000"/>
          <w:sz w:val="20"/>
        </w:rPr>
        <w:t>Figure 3</w:t>
      </w:r>
      <w:r>
        <w:rPr>
          <w:rFonts w:ascii="Times New Roman" w:hAnsi="Times New Roman"/>
          <w:color w:val="000000"/>
          <w:sz w:val="20"/>
        </w:rPr>
        <w:t xml:space="preserve">), SEP-479 was dosed orally once-daily at 0.5 mg/kg, 1 mg/kg, 2 mg/kg, and 3 mg/kg which led to decreases in serum PTH levels and dose-dependence increases in serum calcium. </w:t>
      </w:r>
    </w:p>
    <w:p>
      <w:pPr>
        <w:pStyle w:val="TextBody"/>
        <w:bidi w:val="0"/>
        <w:spacing w:before="120" w:after="283"/>
        <w:jc w:val="both"/>
        <w:rPr/>
      </w:pPr>
      <w:r>
        <w:rPr/>
        <w:drawing>
          <wp:inline distT="0" distB="0" distL="0" distR="0">
            <wp:extent cx="6448425" cy="18573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448425" cy="1857375"/>
                    </a:xfrm>
                    <a:prstGeom prst="rect">
                      <a:avLst/>
                    </a:prstGeom>
                  </pic:spPr>
                </pic:pic>
              </a:graphicData>
            </a:graphic>
          </wp:inline>
        </w:drawing>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Figure </w:t>
      </w:r>
      <w:r>
        <w:rPr>
          <w:rFonts w:ascii="Times New Roman" w:hAnsi="Times New Roman"/>
          <w:color w:val="000000"/>
          <w:sz w:val="20"/>
        </w:rPr>
        <w:t xml:space="preserve">3. Preclinical pharmacodynamic study of multiple doses of SEP-479 in healthy cynomolgus monkey. (QD) = QD = once-daily.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PK profile of SEP-479 across multiple species was determined to support human PK projections based upon allometric scaling of the nonclinical PK parameters, in addition to in vitro-in vivo extrapolation (IVIVE) of intrinsic clearance in human hepatocytes. These human PK models projected that SEP-479 will have a human half-life in approximately the range of 43-87 hours following oral dosing. We believe that the totality of preclinical data for SEP-479 supports a projection that once-daily oral dosing of SEP-479 could lead to control of serum calcium within the normal range in patients with hypoparathyroidism.</w:t>
      </w:r>
    </w:p>
    <w:p>
      <w:pPr>
        <w:pStyle w:val="TextBody"/>
        <w:bidi w:val="0"/>
        <w:spacing w:before="360" w:after="283"/>
        <w:jc w:val="both"/>
        <w:rPr>
          <w:rFonts w:ascii="Times New Roman" w:hAnsi="Times New Roman"/>
          <w:sz w:val="20"/>
        </w:rPr>
      </w:pPr>
      <w:r>
        <w:rPr>
          <w:rFonts w:ascii="Times New Roman" w:hAnsi="Times New Roman"/>
          <w:i/>
          <w:color w:val="000000"/>
          <w:sz w:val="20"/>
        </w:rPr>
        <w:t>Clinical Development Plan and Status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first half of 2026, we plan to initiate a placebo-controlled, SAD and MAD Phase 1 clinical trial in Australia, pending the successful completion of regulatory submissions. This Phase 1 clinical trial in healthy adult participants is designed to assess preliminary safety, tolerability, PK, and PD of oral doses of SEP-479. In the MAD portion of the trial, we plan to evaluate oral dosing of SEP-479 to evaluate safety and determine the optimal dosing regimen for serum calcium control. Secondary endpoints include PK, serum calcium, serum PTH, and other biomarkers. We anticipate announcing topline data from this Phase 1 clinical trial around the end of 2026 or early 2027.</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SEP-631: Oral Small Molecule MRGPRX2 NAM for CSU and Other Mast Cell- Driven Diseases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developing SEP-631, a selective, oral small molecule MRGPRX2 negative allosteric modulator (“NAM”), initially for the treatment of CSU. In preclinical studies, SEP-631 demonstrated potent and long-lasting inhibition of MRGPRX2, which is a highly and uniquely expressed receptor on mast cells and when activated is a key driver of CSU and other prevalent mast cell- driven diseases. In August 2025, we announced the dosing of the first participants in our Phase 1 clinical trial of SEP-631. The Phase 1 SAD and MAD clinical trial evaluated the safety, tolerability, PK and PD of SEP-631 in healthy adult volunteers. On March 1, 2026, we presented positive results from our Phase 1 clinical trial of SEP-631 at the 2026 American Academy of Allergy Asthma &amp; Immunology (AAAAI) Annual Meeting.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Overview of CSU</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Disease Background and Role of MRGPRX2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CSU is a systemic inflammatory skin disease characterized by the spontaneous and recurrent appearance of itchy, painful hives, known as wheals, on the skin and angioedema, or swelling, that affects approximately 2-3 million patients in the United States. These chronic symptoms, which typically last between two and five years, can interfere with daily living, including the ability to work, and are frequently associated with psychiatric comorbidities, including depression and anxiety. Some patients with CSU report associated systemic symptoms including headache and fatigue, wheezing, flushing, palpitations, and gastrointestinal symptoms.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While there is no known trigger, the activation and degranulation of mast cells and release of histamine and other inflammatory mediators lead to the debilitating symptoms of CSU. Two canonical pathways represent the primary mechanisms for activation and degranulation of mast cells: activation of the IgE pathway via receptor cross-linking by antibodies targeting the high-affinity IgE receptor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(FcεRI) or IgE itself, and activation of an IgE-independent pathway via MRGPRX2. Upon activation, mast cells release a plethora of mediators leading to the hallmark symptoms of itching, redness, and swelling.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MRGPRX2 is highly expressed on the surface of mast cells and plays a critical role in mast cell activation and degranulation. This receptor is activated by a variety of stimuli, including neuropeptides, antimicrobial peptides, immune mediators, and certain drugs. Upon activation, MRGPRX2 triggers a signaling cascade that leads to the rapid release of pre-stored inflammatory mediators such as histamine, proteases, and cytokines from mast cell granules. This degranulation process contributes to immediate hypersensitivity reactions and various inflammatory conditions. The unique ability of MRGPRX2 to respond to a broad range of ligands highlights its importance in host defense mechanisms and its potential as a therapeutic target for treating allergic and inflammatory diseases.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Current Treatment Options and Their Limitations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suffering from CSU are treated initially with antihistamines to control symptoms; however, approximately 37% of patients are inadequately controlled in this first-line setting.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significant proportion of patients have persistent symptoms with antihistamines, highlighting substantial need for additional treatment options. In 2025, the FDA approved two new treatment options for CSU patients: dupilumab, an injectable biologic that inhibits interleukin-4 (IL-4) and interleukin-13 (IL-13), and remibrutinib, a twice-daily oral Bruton’s tyrosine kinase inhibitor. With the expanding knowledge of the pathogenesis of CSU and the role of mast cells, novel therapeutic agents targeting distinct drivers of CSU are in development. We are aware of several new mechanisms, and programs are being explored in clinical trials, such as anti-KIT antibodies barzolvolimab and briquilimab, an oral KIT inhibitor SAR449028, an MRGPRX2 inhibitor EVO756, and a long-acting anti-IgE antibody, ozureprubart.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Solution: Oral Small Molecule MRGPRX2 NAM</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Our Program Strategy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an oral small molecule that targets MRGPRX2 could provide a differentiated treatment option for patients with CSU. Our MRGPRX2 NAM program is designed to selectively inhibit mast cells, minimizing the risk of broad immunosuppression, which might be observed with other mechanistic approaches that either eradicate mast cells or inhibit multiple immune cell types. We believe selective mast cell inhibitors have the potential to be safer treatment alternatives and could be used for both monotherapy and combination therapy. With our NAM, we believe that we may be able to universally block all endogenous MRGPRX2 agonists and prevent MRGPRX2 activation even in the presence of high concentrations of MRGPRX2 agonists. We believe that with this combination of features, our NAM could have the potential to control patient symptoms and protect against disease flares.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developing SEP-631 initially for the treatment of CSU, as we believe this may provide an efficient path to clinical proof-of-concept. There remains a significant unmet need in CSU, since antihistamine-refractory patients have few oral treatment alternatives. Because multiple diseases are driven by activated mast cells, we believe there is an opportunity to expand into indications across several therapeutic areas, such as atopic dermatitis, interstitial cystitis, migraine, prurigo nodularis, and asthma.</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Preclinical Activity of SEP-631</w:t>
      </w:r>
    </w:p>
    <w:p>
      <w:pPr>
        <w:pStyle w:val="TextBody"/>
        <w:bidi w:val="0"/>
        <w:spacing w:before="120" w:after="283"/>
        <w:jc w:val="both"/>
        <w:rPr>
          <w:rFonts w:ascii="Times New Roman" w:hAnsi="Times New Roman"/>
          <w:sz w:val="20"/>
        </w:rPr>
      </w:pPr>
      <w:r>
        <w:rPr>
          <w:rFonts w:ascii="Times New Roman" w:hAnsi="Times New Roman"/>
          <w:color w:val="000000"/>
          <w:sz w:val="20"/>
        </w:rPr>
        <w:t>SEP-631 has been demonstrated to potently block the activation of intracellular signaling in HEK293 cells with overexpressed human MRGPRX2 stimulated by cortistatin-14 (IC50 = 1.6 nM). Experiments using a matrix of different concentrations of SEP-631 versus different concentrations of cortistatin-14 showed strong suppression of maximal agonist effects (</w:t>
      </w:r>
      <w:r>
        <w:rPr>
          <w:rFonts w:ascii="Times New Roman" w:hAnsi="Times New Roman"/>
          <w:b/>
          <w:color w:val="000000"/>
          <w:sz w:val="20"/>
        </w:rPr>
        <w:t>Figure 4</w:t>
      </w:r>
      <w:r>
        <w:rPr>
          <w:rFonts w:ascii="Times New Roman" w:hAnsi="Times New Roman"/>
          <w:color w:val="000000"/>
          <w:sz w:val="20"/>
        </w:rPr>
        <w:t>), which we believe demonstrates SEP-631 has the potential to be a NAM which, when bound to MRGPRX2, cannot be outcompeted by excess amounts of an MRGPRX2 agonist.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3619500" cy="21050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19500" cy="2105025"/>
                    </a:xfrm>
                    <a:prstGeom prst="rect">
                      <a:avLst/>
                    </a:prstGeom>
                  </pic:spPr>
                </pic:pic>
              </a:graphicData>
            </a:graphic>
          </wp:inline>
        </w:drawing>
      </w:r>
    </w:p>
    <w:p>
      <w:pPr>
        <w:pStyle w:val="TextBody"/>
        <w:bidi w:val="0"/>
        <w:jc w:val="both"/>
        <w:rPr>
          <w:rFonts w:ascii="Times New Roman" w:hAnsi="Times New Roman"/>
          <w:sz w:val="20"/>
        </w:rPr>
      </w:pPr>
      <w:r>
        <w:rPr>
          <w:rFonts w:ascii="Times New Roman" w:hAnsi="Times New Roman"/>
          <w:b/>
          <w:color w:val="000000"/>
          <w:sz w:val="20"/>
        </w:rPr>
        <w:t xml:space="preserve">Figure 4. </w:t>
      </w:r>
      <w:r>
        <w:rPr>
          <w:rFonts w:ascii="Times New Roman" w:hAnsi="Times New Roman"/>
          <w:color w:val="000000"/>
          <w:sz w:val="20"/>
        </w:rPr>
        <w:t>SEP-631 shows strong negative allosteric modulation of cortistatin-14 activation of MRGPRX2 in HEK293 cells expressing MRGPRX2.</w:t>
      </w:r>
    </w:p>
    <w:p>
      <w:pPr>
        <w:pStyle w:val="TextBody"/>
        <w:bidi w:val="0"/>
        <w:spacing w:before="240" w:after="283"/>
        <w:jc w:val="both"/>
        <w:rPr>
          <w:rFonts w:ascii="Times New Roman" w:hAnsi="Times New Roman"/>
          <w:sz w:val="20"/>
        </w:rPr>
      </w:pPr>
      <w:r>
        <w:rPr>
          <w:rFonts w:ascii="Times New Roman" w:hAnsi="Times New Roman"/>
          <w:color w:val="000000"/>
          <w:sz w:val="20"/>
        </w:rPr>
        <w:t>SEP-631 can block IP1 accumulation in HEK293 cells expressing MRGPRX2 in response to activation by several clinically relevant endogenous MRGPRX2 agonists (</w:t>
      </w:r>
      <w:r>
        <w:rPr>
          <w:rFonts w:ascii="Times New Roman" w:hAnsi="Times New Roman"/>
          <w:b/>
          <w:color w:val="000000"/>
          <w:sz w:val="20"/>
        </w:rPr>
        <w:t>Figure 5</w:t>
      </w:r>
      <w:r>
        <w:rPr>
          <w:rFonts w:ascii="Times New Roman" w:hAnsi="Times New Roman"/>
          <w:color w:val="000000"/>
          <w:sz w:val="20"/>
        </w:rPr>
        <w:t>), demonstrating that its inhibitory effect is independent of the activating agonist (i.e., the inhibitor does not show probe dependence).</w:t>
      </w:r>
    </w:p>
    <w:p>
      <w:pPr>
        <w:pStyle w:val="TextBody"/>
        <w:bidi w:val="0"/>
        <w:jc w:val="left"/>
        <w:rPr/>
      </w:pPr>
      <w:r>
        <w:rPr/>
        <w:t> </w:t>
      </w:r>
    </w:p>
    <w:p>
      <w:pPr>
        <w:pStyle w:val="TextBody"/>
        <w:bidi w:val="0"/>
        <w:jc w:val="center"/>
        <w:rPr/>
      </w:pPr>
      <w:r>
        <w:rPr/>
        <w:drawing>
          <wp:inline distT="0" distB="0" distL="0" distR="0">
            <wp:extent cx="3581400" cy="19907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581400" cy="1990725"/>
                    </a:xfrm>
                    <a:prstGeom prst="rect">
                      <a:avLst/>
                    </a:prstGeom>
                  </pic:spPr>
                </pic:pic>
              </a:graphicData>
            </a:graphic>
          </wp:inline>
        </w:drawing>
      </w:r>
    </w:p>
    <w:p>
      <w:pPr>
        <w:pStyle w:val="TextBody"/>
        <w:bidi w:val="0"/>
        <w:jc w:val="both"/>
        <w:rPr>
          <w:rFonts w:ascii="Times New Roman" w:hAnsi="Times New Roman"/>
          <w:sz w:val="20"/>
        </w:rPr>
      </w:pPr>
      <w:r>
        <w:rPr>
          <w:rFonts w:ascii="Times New Roman" w:hAnsi="Times New Roman"/>
          <w:b/>
          <w:color w:val="000000"/>
          <w:sz w:val="20"/>
        </w:rPr>
        <w:t xml:space="preserve">Figure 5. </w:t>
      </w:r>
      <w:r>
        <w:rPr>
          <w:rFonts w:ascii="Times New Roman" w:hAnsi="Times New Roman"/>
          <w:color w:val="000000"/>
          <w:sz w:val="20"/>
        </w:rPr>
        <w:t xml:space="preserve">SEP-631 potently inhibits the activation of MRGPRX2 by a range of endogenous MRGPRX2 agonists. </w:t>
      </w:r>
    </w:p>
    <w:p>
      <w:pPr>
        <w:pStyle w:val="TextBody"/>
        <w:bidi w:val="0"/>
        <w:spacing w:before="240" w:after="283"/>
        <w:jc w:val="both"/>
        <w:rPr>
          <w:rFonts w:ascii="Times New Roman" w:hAnsi="Times New Roman"/>
          <w:sz w:val="20"/>
        </w:rPr>
      </w:pPr>
      <w:r>
        <w:rPr>
          <w:rFonts w:ascii="Times New Roman" w:hAnsi="Times New Roman"/>
          <w:color w:val="000000"/>
          <w:sz w:val="20"/>
        </w:rPr>
        <w:t>In different in vitro cellular models of mast cell degranulation, SEP-631 was shown to be a potent inhibitor of activation and degranulation in LAD2 cells (IC50 = 2.3 nM) and primary human cord blood-derived mast cells (IC50 = 0.72 nM). In typical experiments on primary human skin mast cells, SEP-631 fully and potently inhibited tryptase release triggered by an EC90 concentration of Substance P (IC50 = 12 nM) (</w:t>
      </w:r>
      <w:r>
        <w:rPr>
          <w:rFonts w:ascii="Times New Roman" w:hAnsi="Times New Roman"/>
          <w:b/>
          <w:color w:val="000000"/>
          <w:sz w:val="20"/>
        </w:rPr>
        <w:t>Figure 6</w:t>
      </w:r>
      <w:r>
        <w:rPr>
          <w:rFonts w:ascii="Times New Roman" w:hAnsi="Times New Roman"/>
          <w:color w:val="000000"/>
          <w:sz w:val="20"/>
        </w:rPr>
        <w:t>).</w:t>
      </w:r>
    </w:p>
    <w:p>
      <w:pPr>
        <w:pStyle w:val="TextBody"/>
        <w:bidi w:val="0"/>
        <w:jc w:val="center"/>
        <w:rPr/>
      </w:pPr>
      <w:r>
        <w:rPr/>
        <w:drawing>
          <wp:inline distT="0" distB="0" distL="0" distR="0">
            <wp:extent cx="2609850" cy="19621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609850" cy="1962150"/>
                    </a:xfrm>
                    <a:prstGeom prst="rect">
                      <a:avLst/>
                    </a:prstGeom>
                  </pic:spPr>
                </pic:pic>
              </a:graphicData>
            </a:graphic>
          </wp:inline>
        </w:drawing>
      </w:r>
    </w:p>
    <w:p>
      <w:pPr>
        <w:pStyle w:val="TextBody"/>
        <w:bidi w:val="0"/>
        <w:jc w:val="both"/>
        <w:rPr>
          <w:rFonts w:ascii="Times New Roman" w:hAnsi="Times New Roman"/>
          <w:sz w:val="20"/>
        </w:rPr>
      </w:pPr>
      <w:r>
        <w:rPr>
          <w:rFonts w:ascii="Times New Roman" w:hAnsi="Times New Roman"/>
          <w:b/>
          <w:color w:val="000000"/>
          <w:sz w:val="20"/>
        </w:rPr>
        <w:t>Figure 6.</w:t>
      </w:r>
      <w:r>
        <w:rPr>
          <w:rFonts w:ascii="Times New Roman" w:hAnsi="Times New Roman"/>
          <w:color w:val="000000"/>
          <w:sz w:val="20"/>
        </w:rPr>
        <w:t xml:space="preserve"> In typical experiments on human skin mast cells, SEP-631 potently inhibited Substance P- stimulated tryptase release from primary human skin mast cells.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key feature of SEP-631 compared to other MRGPRX2 inhibitors is its long target residence time or slow off-rate of inhibition, meaning it takes a long time for the receptor-ligand complex to dissociate and for the receptor to become activatable again. Two experimental approaches were taken to determine the half-life of the receptor-ligand complex: radioligand binding experiments and a surface plasmon resonance study demonstrated long half-lives of 124 minutes (with a standard deviation of 20 minutes) and 50 minutes, respectively. Long target residence times of receptor ligands are recognized as being potentially advantageous for prolonged drug action in vivo, which have been shown to translate to enhanced clinical activity. </w:t>
      </w:r>
    </w:p>
    <w:p>
      <w:pPr>
        <w:pStyle w:val="TextBody"/>
        <w:bidi w:val="0"/>
        <w:spacing w:before="240" w:after="283"/>
        <w:jc w:val="both"/>
        <w:rPr>
          <w:rFonts w:ascii="Times New Roman" w:hAnsi="Times New Roman"/>
          <w:sz w:val="20"/>
        </w:rPr>
      </w:pPr>
      <w:r>
        <w:rPr>
          <w:rFonts w:ascii="Times New Roman" w:hAnsi="Times New Roman"/>
          <w:color w:val="000000"/>
          <w:sz w:val="20"/>
        </w:rPr>
        <w:t>For characterization of SEP-631 in vivo, we developed a transgenic knock-in (“KI”) mouse model in which the coding region of the endogenous mouse MRGPRB2 receptor was replaced with the human MRGPRX2 receptor, due to the low sequence homology shared between the mouse and human orthologs. In this model, MRGPRX2 agonist ligands such as cortistatin-14 or icatibant stimulate robust plasma extravasation, or edema, when injected into the skin. Extravasation can be quantitated by following the redistribution of Evans Blue dye from the circulation into skin tissue (</w:t>
      </w:r>
      <w:r>
        <w:rPr>
          <w:rFonts w:ascii="Times New Roman" w:hAnsi="Times New Roman"/>
          <w:b/>
          <w:color w:val="000000"/>
          <w:sz w:val="20"/>
        </w:rPr>
        <w:t>Figure 7.A</w:t>
      </w:r>
      <w:r>
        <w:rPr>
          <w:rFonts w:ascii="Times New Roman" w:hAnsi="Times New Roman"/>
          <w:color w:val="000000"/>
          <w:sz w:val="20"/>
        </w:rPr>
        <w:t>). In the MRGPRX2 KI mouse model, SEP-631 robustly inhibited skin extravasation when dosed orally prior to the cortistatin-14 and icatibant skin challenge, demonstrating complete blockade of skin mast cell degranulation at an oral dose of 3 mg/kg (</w:t>
      </w:r>
      <w:r>
        <w:rPr>
          <w:rFonts w:ascii="Times New Roman" w:hAnsi="Times New Roman"/>
          <w:b/>
          <w:color w:val="000000"/>
          <w:sz w:val="20"/>
        </w:rPr>
        <w:t>Figure 7.B</w:t>
      </w:r>
      <w:r>
        <w:rPr>
          <w:rFonts w:ascii="Times New Roman" w:hAnsi="Times New Roman"/>
          <w:color w:val="000000"/>
          <w:sz w:val="20"/>
        </w:rPr>
        <w:t>).</w:t>
      </w:r>
    </w:p>
    <w:p>
      <w:pPr>
        <w:pStyle w:val="TextBody"/>
        <w:bidi w:val="0"/>
        <w:jc w:val="left"/>
        <w:rPr/>
      </w:pPr>
      <w:r>
        <w:rPr/>
        <w:t> </w:t>
      </w:r>
    </w:p>
    <w:p>
      <w:pPr>
        <w:pStyle w:val="TextBody"/>
        <w:bidi w:val="0"/>
        <w:jc w:val="center"/>
        <w:rPr/>
      </w:pPr>
      <w:r>
        <w:rPr/>
        <w:drawing>
          <wp:inline distT="0" distB="0" distL="0" distR="0">
            <wp:extent cx="6858000" cy="30670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858000" cy="3067050"/>
                    </a:xfrm>
                    <a:prstGeom prst="rect">
                      <a:avLst/>
                    </a:prstGeom>
                  </pic:spPr>
                </pic:pic>
              </a:graphicData>
            </a:graphic>
          </wp:inline>
        </w:drawing>
      </w:r>
    </w:p>
    <w:p>
      <w:pPr>
        <w:pStyle w:val="TextBody"/>
        <w:bidi w:val="0"/>
        <w:jc w:val="both"/>
        <w:rPr>
          <w:rFonts w:ascii="Times New Roman" w:hAnsi="Times New Roman"/>
          <w:sz w:val="20"/>
        </w:rPr>
      </w:pPr>
      <w:r>
        <w:rPr>
          <w:rFonts w:ascii="Times New Roman" w:hAnsi="Times New Roman"/>
          <w:b/>
          <w:color w:val="000000"/>
          <w:sz w:val="20"/>
        </w:rPr>
        <w:t xml:space="preserve">Figure 7. </w:t>
      </w:r>
      <w:r>
        <w:rPr>
          <w:rFonts w:ascii="Times New Roman" w:hAnsi="Times New Roman"/>
          <w:color w:val="000000"/>
          <w:sz w:val="20"/>
        </w:rPr>
        <w:t>(A) Human MRGPRX2 KI mouse model of plasma extravasation into skin. (B) SEP-631 potently inhibited cortistatin-14 and icatibant mediated plasma extravasation into skin in a human MRGPRX2 KI mouse model. PO = oral.</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Preclinical Studies to Support Clinical Advancement of SEP-631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preclinical drug metabolism and PK profile of SEP-631 across multiple species was determined to support human PK projections. SEP-631 has the potential to be highly orally bioavailable with low clearance and a projected half-life consistent with once-daily oral dosing.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vitro and in vivo safety studies explored to date support that SEP-631 has a favorable tolerability profile. In 28-day repeat oral dose GLP toxicology studies in rats and dogs, SEP-631 was generally well tolerated with wide safety margins over projected maximal exposures at human efficacious doses.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Phase 1 Study Supports Clinical Advancement of SEP-631 to Phase 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August 2025, we announced the dosing of the first participants in our Phase 1 clinical trial of SEP-631. The Phase 1, double-blind, randomized, placebo-controlled, SAD and MAD clinical trial evaluated the safety, tolerability, PK, PD and food effects of SEP-631 dosed orally once-daily (“QD”) in healthy adult volunteers. On March 1, 2026, we presented positive results from our Phase 1 clinical trial of SEP-631 at the AAAAI Annual Meeting. In the SAD and MAD cohorts the adverse event profile for SEP-631 was comparable to placebo. No severe or serious events were reported in the study. In the SAD cohorts, two adverse events of mild transaminase elevations (&lt;1.5x the upper limit of normal) in subjects receiving SEP-631, both of which were not related to dose, and 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rates similar to placebo with one mild transaminase elevation observed in a subject receiving placebo. In the MAD cohorts, one mild transaminase elevation (&lt;1.5x the upper limit of normal) was observed in a subject receiving SEP-631 and one was observed with a subject receiving placebo. The observed elimination half-life of SEP-631 was approximately 24 hours which we believe will support QD dosing in future clinical studies of SEP-631. In a food effects evaluation cohort, we observed subjects on a high-fat, high-calorie meal resulted in similar exposure of SEP-631 to subjects in fasted conditions as assessed by the maximum plasma concentration and area under the curve. </w:t>
      </w:r>
    </w:p>
    <w:p>
      <w:pPr>
        <w:pStyle w:val="TextBody"/>
        <w:bidi w:val="0"/>
        <w:spacing w:before="240" w:after="283"/>
        <w:jc w:val="both"/>
        <w:rPr>
          <w:rFonts w:ascii="Times New Roman" w:hAnsi="Times New Roman"/>
          <w:sz w:val="20"/>
        </w:rPr>
      </w:pPr>
      <w:r>
        <w:rPr>
          <w:rFonts w:ascii="Times New Roman" w:hAnsi="Times New Roman"/>
          <w:color w:val="000000"/>
          <w:sz w:val="20"/>
        </w:rPr>
        <w:t>The Phase 1 study included a PD assessment of SEP-631 in the MAD cohorts using an icatibant skin challenge. The skin challenge agents that were injected into the forearm of healthy adult subjects included saline (injection negative control), histamine (wheal positive control), and icatibant at 10 ug/mL and 100ug/mL. Icatibant is an MRGPRX2 agonist that is known to cause wheal formations on the skin at the injection site. The skin challenge was performed at baseline (Day –1) and at steady-state (Day 9) following once-daily dosing of SEP-631 or placebo. The size of the wheals in the skin challenge was assessed using a precision image-based technology called AllergyScope detector, which utilizes short-wave infrared spectrum to image the skin wheals. Those images were then transmitted for central lab analysis and adjudication performed by two independent and blinded adjudicators at Johns Hopkins University. SEP-631 substantially inhibited icatibant 10 μg/mL-induced wheals at 10 mg QD, the lowest dose of SEP-631 that was evaluated in the study (</w:t>
      </w:r>
      <w:r>
        <w:rPr>
          <w:rFonts w:ascii="Times New Roman" w:hAnsi="Times New Roman"/>
          <w:b/>
          <w:color w:val="000000"/>
          <w:sz w:val="20"/>
        </w:rPr>
        <w:t>Figure 8.A</w:t>
      </w:r>
      <w:r>
        <w:rPr>
          <w:rFonts w:ascii="Times New Roman" w:hAnsi="Times New Roman"/>
          <w:color w:val="000000"/>
          <w:sz w:val="20"/>
        </w:rPr>
        <w:t>). SEP-631 inhibited icatibant 100 μg/mL-induced wheals in a dose-dependent manner up to complete inhibition at 200 mg QD (</w:t>
      </w:r>
      <w:r>
        <w:rPr>
          <w:rFonts w:ascii="Times New Roman" w:hAnsi="Times New Roman"/>
          <w:b/>
          <w:color w:val="000000"/>
          <w:sz w:val="20"/>
        </w:rPr>
        <w:t>Figure 8.B</w:t>
      </w:r>
      <w:r>
        <w:rPr>
          <w:rFonts w:ascii="Times New Roman" w:hAnsi="Times New Roman"/>
          <w:color w:val="000000"/>
          <w:sz w:val="20"/>
        </w:rPr>
        <w:t>).</w:t>
      </w:r>
    </w:p>
    <w:p>
      <w:pPr>
        <w:pStyle w:val="TextBody"/>
        <w:bidi w:val="0"/>
        <w:spacing w:before="240" w:after="283"/>
        <w:jc w:val="both"/>
        <w:rPr/>
      </w:pPr>
      <w:r>
        <w:rPr/>
        <w:drawing>
          <wp:inline distT="0" distB="0" distL="0" distR="0">
            <wp:extent cx="6858000" cy="23241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858000" cy="2324100"/>
                    </a:xfrm>
                    <a:prstGeom prst="rect">
                      <a:avLst/>
                    </a:prstGeom>
                  </pic:spPr>
                </pic:pic>
              </a:graphicData>
            </a:graphic>
          </wp:inline>
        </w:drawing>
      </w:r>
    </w:p>
    <w:p>
      <w:pPr>
        <w:pStyle w:val="TextBody"/>
        <w:bidi w:val="0"/>
        <w:jc w:val="both"/>
        <w:rPr>
          <w:rFonts w:ascii="Times New Roman" w:hAnsi="Times New Roman"/>
          <w:sz w:val="20"/>
        </w:rPr>
      </w:pPr>
      <w:r>
        <w:rPr>
          <w:rFonts w:ascii="Times New Roman" w:hAnsi="Times New Roman"/>
          <w:b/>
          <w:color w:val="000000"/>
          <w:sz w:val="20"/>
        </w:rPr>
        <w:t xml:space="preserve">Figure 8. </w:t>
      </w:r>
      <w:r>
        <w:rPr>
          <w:rFonts w:ascii="Times New Roman" w:hAnsi="Times New Roman"/>
          <w:color w:val="000000"/>
          <w:sz w:val="20"/>
        </w:rPr>
        <w:t xml:space="preserve">(A) Icatibant 10 ug/mL. (B) Icatibant 100 ug/mL. Note that nominal p-values comparing each SEP-631 dose level to placebo for change from baseline are based on an ANCOVA model including a fixed effect for treatment group and baseline wheal response as a covariate.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Clinical Development Plan and Status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currently conducting long-term GLP toxicology studies for SEP-631 in rats and dogs which we expect to be completed summer 2026. Subject to successful completion of these toxicology studies, we plan to initiate a Phase 2b global, randomized, double-blind, placebo-controlled study to evaluate safety and exploratory efficacy of SEP-631 in CSU in the second half of 2026. In addition to CSU, we are exploring other high potential indications where tissue mast cells express MRGPRX2 including atopic dermatitis, interstitial cystitis / bladder pain syndrome, migraine, and asthma where we believe SEP-631 could offer a novel oral treatment option for these patient populations. We plan to explore these indications as potential future clinical development opportunities.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TSHR Program: Oral Small Molecule TSHR NAM for Graves’ Disease and 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developing a novel, oral small molecule TSHR NAM for the treatment of Graves’ disease and thyroid eye disease (“TED”). We believe our TSHR NAM could offer a disease-modifying treatment that directly addresses the pathobiology of both diseases by blocking TSHR overactivation caused by patients’ autoantibodies. We are advancing several lead compounds towards selection of a development candidate for IND-enabling studies.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Overview of Graves’ Disease and TED</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Disease Background and Role of TSHR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Graves’ disease is one of the most prevalent autoimmune conditions affecting over 2 million patients in the United States and is the leading cause of hyperthyroidism. In Graves’ disease, the body produces autoantibodies that bind to and activate TSHR on thyroid cells. These autoantibodies stimulate the thyroid gland to produce excess thyroid hormone, resulting in hyperthyroidism. Thyroid hormones affect many body systems, so symptoms of Graves’ disease can be wide-ranging. Common symptoms of Graves’ disease include anxiety and irritability, tremors, heat sensitivity, weight loss, rapid or irregular heartbeat, and sleep disturbance. Although Graves’ disease may affect anyone, it is more common among women and people younger than age 40.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TED is a related, yet distinct, vision-threatening autoimmune condition that develops in approximately 50% of Graves’ disease patients. In TED, autoantibodies bind to and activate TSHR on orbital fibroblasts located behind the eyes, thereby resulting in inflammation, orbital fat expansion, and fibrosis. TED is a progressive disease and early diagnosis and treatment are important to prevent worsening and serious eye damage, including proptosis (eye bulging), strabismus (misalignment of the eyes), and diplopia (blurred or double vision).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Current Treatment Options and Their Limitations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most common treatments for Graves’ disease have remained largely unchanged over the past 70 years and include antithyroid drugs, such as methimazole and propylthiouracil, designed to lower the amount of hormone the thyroid makes or block the effects of thyroid hormone on the body, radioactive iodine therapies that aim to destroy overactive thyroid cells, and thyroidectomy surgery to remove all or part of the thyroid. For many patients, there is a high rate of disease recurrence after treatment with antithyroid drugs, and lifelong hypothyroidism develops after ablation and thyroidectomy. In addition, these treatment options may initially address the underlying symptoms, but they are not disease-modifying and do not stop disease progression.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Current treatments for TED depend on disease severity and are designed to help manage symptoms and slow disease progression. For patients with mild TED, lifestyle changes and over-the-counter remedies, such as artificial tear drops and selenium supplements, may help with dry eye relief. For severe TED, steroids and/or eye surgery, such as orbital decompression, may be considered. Historically, patients have had to live with TED until the inflammation subsides, after which they are often left with permanent and vision-impairing consequences and may require multiple surgeries that do not completely return the patient to their pre-disease state.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Solution: Oral Small Molecule TSHR NAM</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Our Program Strategy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believe there is a significant unmet need for a disease-modifying approach that directly addresses the pathobiology of both Graves’ disease and TED. Our highly selective, oral small molecule TSHR NAM program is designed to block the activation of TSHR by autoantibodies and could lead to a universal treatment option for all Graves’ disease and TED patients. Our NAMs are designed to prevent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activation of TSHR even in the presence of excess amounts of TSHR activating autoantibodies, thus potentially providing protection for patients with high serum antibody levels and for patients with polyclonal activating antibodies.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 few innovative, non-surgical or ablative treatments, we believe that there is a significant unmet need in Graves’ disease. While treatments exist for TED, they are focused on the most severe patients, so an oral small molecule TSHR NAM could provide a new option for all TED patients. Because over-stimulation of TSHR is at the center of Graves’ disease and TED, we believe that if we can treat Graves’ disease patients early in their disease course with our oral small molecule TSHR NAM, our treatment may be able to prevent the progression to other manifestations of the disease, such as TED or Graves’ dermopathy.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Discovery and Preclinical Activity of Oral TSHR NAMs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used our Native Complex Platform® to identify multiple tractable chemical series of oral small molecule TSHR NAMs. Molecular pharmacology studies with TSHR NAMs have demonstrated multiple compound series with high potencies and desired drug-like properties. In cells expressing human TSHR, cAMP signaling activated by an autoantibody isolated from a Graves’ disease patient was significantly inhibited with several of our lead compounds. In addition, our compounds exhibited high selectivity for inhibition of TSHR over a broad set of other GPCRs.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 effective treatment for both Graves’ disease and TED will require broad inhibition of patient autoantibodies, which are typically high affinity and present at high titers during active disease. Furthermore, these autoantibodies may bind to different sites on the large extracellular domain of TSHR. We believe a TSHR NAM can have an optimized pharmacologic profile to fully block the activity of all patient autoantibodies.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To demonstrate that our TSHR NAM can fully inhibit multiple patient autoantibodies, we assessed the activity of one of our small molecule TSHR NAMs (SP-1351) against Graves’ disease patient-derived polyclonal sera applied to TED patients’ orbital fibroblasts. Fibroblast activation by the sera is measured by quantifying hyaluronic acid production by the cells. SP-1351 was able to inhibit the activity of 10 out of 10 polyclonal sera samples, each from a different Graves’ disease patient (</w:t>
      </w:r>
      <w:r>
        <w:rPr>
          <w:rFonts w:ascii="Times New Roman" w:hAnsi="Times New Roman"/>
          <w:b/>
          <w:color w:val="000000"/>
          <w:sz w:val="20"/>
        </w:rPr>
        <w:t>Figure 9</w:t>
      </w:r>
      <w:r>
        <w:rPr>
          <w:rFonts w:ascii="Times New Roman" w:hAnsi="Times New Roman"/>
          <w:color w:val="000000"/>
          <w:sz w:val="20"/>
        </w:rPr>
        <w:t>). This result suggests broad inhibitory activity of our TSHR NAMs against the diverse range of polyclonal autoantibodies found in Graves’ disease patients.</w:t>
      </w:r>
    </w:p>
    <w:p>
      <w:pPr>
        <w:pStyle w:val="TextBody"/>
        <w:bidi w:val="0"/>
        <w:jc w:val="left"/>
        <w:rPr/>
      </w:pPr>
      <w:r>
        <w:rPr/>
        <w:t> </w:t>
      </w:r>
    </w:p>
    <w:p>
      <w:pPr>
        <w:pStyle w:val="TextBody"/>
        <w:bidi w:val="0"/>
        <w:jc w:val="center"/>
        <w:rPr/>
      </w:pPr>
      <w:r>
        <w:rPr/>
        <w:drawing>
          <wp:inline distT="0" distB="0" distL="0" distR="0">
            <wp:extent cx="4362450" cy="17335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4362450" cy="1733550"/>
                    </a:xfrm>
                    <a:prstGeom prst="rect">
                      <a:avLst/>
                    </a:prstGeom>
                  </pic:spPr>
                </pic:pic>
              </a:graphicData>
            </a:graphic>
          </wp:inline>
        </w:drawing>
      </w:r>
    </w:p>
    <w:p>
      <w:pPr>
        <w:pStyle w:val="TextBody"/>
        <w:bidi w:val="0"/>
        <w:jc w:val="both"/>
        <w:rPr>
          <w:rFonts w:ascii="Times New Roman" w:hAnsi="Times New Roman"/>
          <w:sz w:val="20"/>
        </w:rPr>
      </w:pPr>
      <w:r>
        <w:rPr>
          <w:rFonts w:ascii="Times New Roman" w:hAnsi="Times New Roman"/>
          <w:b/>
          <w:color w:val="000000"/>
          <w:sz w:val="20"/>
        </w:rPr>
        <w:t xml:space="preserve">Figure 9. </w:t>
      </w:r>
      <w:r>
        <w:rPr>
          <w:rFonts w:ascii="Times New Roman" w:hAnsi="Times New Roman"/>
          <w:color w:val="000000"/>
          <w:sz w:val="20"/>
        </w:rPr>
        <w:t>SP-1351 inhibits activation of primary orbital fibroblasts by all 10 polyclonal serum samples collected from Graves’ disease patients. mAb = monoclonal antibody.</w:t>
      </w:r>
    </w:p>
    <w:p>
      <w:pPr>
        <w:pStyle w:val="TextBody"/>
        <w:bidi w:val="0"/>
        <w:spacing w:before="240" w:after="283"/>
        <w:jc w:val="both"/>
        <w:rPr>
          <w:rFonts w:ascii="Times New Roman" w:hAnsi="Times New Roman"/>
          <w:sz w:val="20"/>
        </w:rPr>
      </w:pPr>
      <w:r>
        <w:rPr>
          <w:rFonts w:ascii="Times New Roman" w:hAnsi="Times New Roman"/>
          <w:color w:val="000000"/>
          <w:sz w:val="20"/>
        </w:rPr>
        <w:t>To characterize the effects of these oral TSHR NAMs on disease manifestations in vivo, we developed a translational mouse model of hyperthyroidism (</w:t>
      </w:r>
      <w:r>
        <w:rPr>
          <w:rFonts w:ascii="Times New Roman" w:hAnsi="Times New Roman"/>
          <w:b/>
          <w:color w:val="000000"/>
          <w:sz w:val="20"/>
        </w:rPr>
        <w:t>Figure 10.A</w:t>
      </w:r>
      <w:r>
        <w:rPr>
          <w:rFonts w:ascii="Times New Roman" w:hAnsi="Times New Roman"/>
          <w:color w:val="000000"/>
          <w:sz w:val="20"/>
        </w:rPr>
        <w:t>). Mice chronically treated with a Graves’ disease patient-derived TSHR-activating antibody developed multiple manifestations similar to Graves’ disease patients, including increased plasma thyroid hormone T4 levels (</w:t>
      </w:r>
      <w:r>
        <w:rPr>
          <w:rFonts w:ascii="Times New Roman" w:hAnsi="Times New Roman"/>
          <w:b/>
          <w:color w:val="000000"/>
          <w:sz w:val="20"/>
        </w:rPr>
        <w:t>Figure 10.B</w:t>
      </w:r>
      <w:r>
        <w:rPr>
          <w:rFonts w:ascii="Times New Roman" w:hAnsi="Times New Roman"/>
          <w:color w:val="000000"/>
          <w:sz w:val="20"/>
        </w:rPr>
        <w:t>), increased thyroid weight (</w:t>
      </w:r>
      <w:r>
        <w:rPr>
          <w:rFonts w:ascii="Times New Roman" w:hAnsi="Times New Roman"/>
          <w:b/>
          <w:color w:val="000000"/>
          <w:sz w:val="20"/>
        </w:rPr>
        <w:t>Figure 10.C</w:t>
      </w:r>
      <w:r>
        <w:rPr>
          <w:rFonts w:ascii="Times New Roman" w:hAnsi="Times New Roman"/>
          <w:color w:val="000000"/>
          <w:sz w:val="20"/>
        </w:rPr>
        <w:t>), and proptosis (</w:t>
      </w:r>
      <w:r>
        <w:rPr>
          <w:rFonts w:ascii="Times New Roman" w:hAnsi="Times New Roman"/>
          <w:b/>
          <w:color w:val="000000"/>
          <w:sz w:val="20"/>
        </w:rPr>
        <w:t>Figure 10.D</w:t>
      </w:r>
      <w:r>
        <w:rPr>
          <w:rFonts w:ascii="Times New Roman" w:hAnsi="Times New Roman"/>
          <w:color w:val="000000"/>
          <w:sz w:val="20"/>
        </w:rPr>
        <w:t>). After one week of SP-1351 treatment with repeat oral dosing, several of these manifestations showed signs of reversal including normalization of thyroid hormone T4 levels, reduction in thyroid weight, and reduction of proptosis.</w:t>
      </w:r>
    </w:p>
    <w:p>
      <w:pPr>
        <w:pStyle w:val="TextBody"/>
        <w:bidi w:val="0"/>
        <w:jc w:val="left"/>
        <w:rPr/>
      </w:pPr>
      <w:r>
        <w:rPr/>
        <w:t> </w:t>
      </w:r>
    </w:p>
    <w:p>
      <w:pPr>
        <w:pStyle w:val="TextBody"/>
        <w:bidi w:val="0"/>
        <w:jc w:val="center"/>
        <w:rPr/>
      </w:pPr>
      <w:r>
        <w:rPr/>
        <w:drawing>
          <wp:inline distT="0" distB="0" distL="0" distR="0">
            <wp:extent cx="4972050" cy="30099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4972050" cy="3009900"/>
                    </a:xfrm>
                    <a:prstGeom prst="rect">
                      <a:avLst/>
                    </a:prstGeom>
                  </pic:spPr>
                </pic:pic>
              </a:graphicData>
            </a:graphic>
          </wp:inline>
        </w:drawing>
      </w:r>
    </w:p>
    <w:p>
      <w:pPr>
        <w:pStyle w:val="TextBody"/>
        <w:bidi w:val="0"/>
        <w:jc w:val="both"/>
        <w:rPr>
          <w:rFonts w:ascii="Times New Roman" w:hAnsi="Times New Roman"/>
          <w:sz w:val="20"/>
        </w:rPr>
      </w:pPr>
      <w:r>
        <w:rPr>
          <w:rFonts w:ascii="Times New Roman" w:hAnsi="Times New Roman"/>
          <w:b/>
          <w:color w:val="000000"/>
          <w:sz w:val="20"/>
        </w:rPr>
        <w:t xml:space="preserve">Figure 10. </w:t>
      </w:r>
      <w:r>
        <w:rPr>
          <w:rFonts w:ascii="Times New Roman" w:hAnsi="Times New Roman"/>
          <w:color w:val="000000"/>
          <w:sz w:val="20"/>
        </w:rPr>
        <w:t>(A) Translational in vivo mouse model of Graves’ disease.(B, C, D) SP-1351 demonstrates reversal of the hyperthyroid state and proptosis in mice chronically treated with a monoclonal TSHR autoantibody. mAb = monoclonal antibody.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same mouse model, effects on thyroid tissue were assessed. Thyroid glands of Graves’ disease patients are characterized by follicular hyperplasia and/or hypertrophy, intracellular colloid droplets, follicular colloid reduction and scalloping, increased vascularity and lymphocyte infiltration, all of which manifest in our mouse disease model. After oral treatment with SP-1351, we observed significant reduction in follicular hypertrophy and colloid droplets.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Next Steps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continuing to optimize multiple early-stage oral small molecule TSHR NAMs, with the goal of advancing lead compounds towards selection of a development candidate for IND-enabling studies. In our preclinical studies, we have identified multiple TSHR NAMs that demonstrated the ability to reverse hyperthyroidism and proptosis in a novel mouse model of Graves’ disease and inhibit multiple Graves’ disease patient TSHR autoantibodies in cell-based assays using primary human cells. We intend to pursue future clinical development of our TSHR NAM program for the treatment of Graves’ disease and 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Metabolic Diseases: Collaboration with Novo Nordisk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13, 2025, we and Novo Nordisk A/S (“Novo”) entered into a global Collaboration and License Agreement (the “Collaboration Agreement”). Under the Collaboration Agreement, we are exclusively collaborating with Novo to leverage the Company’s proprietary Native Complex Platform® to discover, develop and commercialize multiple potential oral small molecule therapies for metabolic-related diseases based on certain specified molecular targets. The collaboration objective is to discover and develop several novel mono-, dual-, or triple-acting oral small molecule drug candidates directed across five GPCRs, including the GLP-1, GIP, and glucagon receptors (the “Collaboration Targets”). The collaboration included our most advanced preclinical metabolic program focused on developing an oral small molecule agonist to the GIP receptor.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After the Collaboration Agreement became effective on July 1, 2025, we and Novo commenced four simultaneous research and development programs (each an “R&amp;D Program”) with each pursuing one or more Collaboration Targets from discovery through development candidate selection. Beginning with investigational new drug-enabling activities, Novo will then be responsible for all further global development and commercialization for each product candidate at its sole cost and expense. Subject to certain limitations, Novo has the right to modify the research plans and explore additional combinations of the existing Collaboration Targets for one or more of such R&amp;D Programs provided that no more than four R&amp;D Programs will be pursued simultaneously. Novo reimburses us for 100% of the costs arising from all research and development activities undertaken by us under the Collaboration Agreement. Novo is also responsible for all commercialization costs subject to our profit and loss share option described below for up to one program under the collaboration.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terms of the Collaboration Agreement, we will provide Novo with exclusive licenses to enable Novo to develop and commercialize products directed at the Collaboration Targets. We retain all other rights to our Native Complex Platform® and all of our other research and development programs.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July 2025, Novo paid us a one-time, non-refundable upfront payment of $195.0 million. For each R&amp;D Program, we are also eligible to receive up to approximately $498.0 million in research, development, regulatory, and commercial milestone payments. In addition, we are entitled to escalating, tiered royalties ranging from mid-to-high single-digits based on global product sales on a country-by-country and product-by-product basis with respect to a R&amp;D Program until the later of ten years after the date of first commercial sale of the first product in such R&amp;D Program in such country, expiration of specified patent rights covering such product in such country or the expiration of specified regulatory exclusivity for the first product in such R&amp;D Program in such country. The royalty payments are subject to certain step-down provisions including reductions due to valid patent claim expiration, generic product market share on a country-by-country basis, payments made under certain licenses for third party intellectual property and application of Inflation Reduction Act maximum fair price provisions (with such cumulative reductions in most cases subject to a royalty reduction floor). Subject to certain terms, conditions and limitations, we hold an option to elect a profit and loss sharing arrangement (in lieu of milestones and royalties) for one product candidate under the Collaboration Agreement, which must be exercised by the Company within a specified time period following completion of either IND-enabling studies or the first Phase 1 clinical trial for such product.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pharmaceutical and biotechnology industries are characterized by rapidly advancing technologies, intense competition, and a strong emphasis on proprietary and novel products and product candidates. While we believe our product candidates, platform, knowledge, experience, and scientific personnel provide us with several key competitive advantages, we face competition from major pharmaceutical and biotechnology companies, academic institutions, governmental agencies, and public and private research institutions, among others. Our future success will depend in part on our ability to maintain a competitive position with our structure-based drug discovery platform. If we fail to stay at the forefront of technological change in utilizing our platform to create and develop product candidates, we may be unable to compete effectively. Our competitors may render our approach obsolete by advances in existing technological approaches or the development of new or different approaches, potentially eliminating the advantages in our drug discovery process that we believe we derive from our research approach and platform. Several other companies also focus on GPCRs and have platform technologies that are distinct from our Native Complex Platform®.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any product candidates that we successfully develop and commercialize, including those from our PTH1R program and SEP-631, may compete with existing therapies and new therapies that may become available in the future that are approved to treat the same diseases for which we may obtain approval for our product candidates. There are several large pharmaceutical and biotechnology companies that currently market and sell products or are pursuing the development of product candidates for the treatment of the indications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of our competitors, either alone or with their collaborators,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timing and scope of marketing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applicable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product candidates are approved, we expect that they will be priced at a significant premium over competitive generic products.</w:t>
      </w:r>
    </w:p>
    <w:p>
      <w:pPr>
        <w:pStyle w:val="TextBody"/>
        <w:bidi w:val="0"/>
        <w:spacing w:before="360" w:after="283"/>
        <w:jc w:val="both"/>
        <w:rPr>
          <w:rFonts w:ascii="Times New Roman" w:hAnsi="Times New Roman"/>
          <w:sz w:val="20"/>
        </w:rPr>
      </w:pPr>
      <w:r>
        <w:rPr>
          <w:rFonts w:ascii="Times New Roman" w:hAnsi="Times New Roman"/>
          <w:b/>
          <w:color w:val="000000"/>
          <w:sz w:val="20"/>
        </w:rPr>
        <w:t>Manufacturing and Supply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do not own or operate manufacturing facilities for the production of our product candidates and currently have no immediate plans to build our own clinical or commercial scale manufacturing capabilities. We have engaged, and expect to continue to rely on, third-party CMOs to supply our product candidates for use in our preclinical studies and clinical trials.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we intend to rely on third-party manufacturers for later-stage development and commercial manufacturing if our product candidates receive marketing approval. As our product candidates advance through clinical development, we expect to enter into longer-term commercial supply agreements to fulfill and secure our production needs. While the drug substances used in our product candidates are manufactured by more than one supplier, the number of manufacturers is limited. In the event it is necessary or advisable to acquire supplies from an alternative supplier, we might not be able to obtain them on commercially reasonable terms, if at all. It could also require significant time and expense to redesign our manufacturing processes to work with another company. If we need to change manufacturers during the clinical or development stage for product candidates or after commercialization for our product candidates, if approved, the FDA, European Medicines Agency (“EMA”), and other comparable foreign regulatory authorities must approve these new manufacturers in advance, which will involve testing and additional inspections to ensure compliance with FDA regulations and standards and may require significant lead times and delay. Reliance on third-party manufacturers and CMOs may expose us to different risks than if we were to manufacture and develop product candidates ourselves. Should any of these manufacturers become unavailable to us for any reason, we believe that there are a number of potential replacements, although we may incur some delay in identifying and qualifying such replacements.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personnel with extensive technical, manufacturing, analytical, and quality experience to oversee contract manufacturing and testing activities, and to compile manufacturing and quality information for our regulatory submissions. </w:t>
      </w:r>
    </w:p>
    <w:p>
      <w:pPr>
        <w:pStyle w:val="TextBody"/>
        <w:bidi w:val="0"/>
        <w:jc w:val="both"/>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intellectual property is critical to our business and we strive to protect it, including by pursuing and, once obtained, by maintaining patent protection in the United States and in selected foreign jurisdictions for our product candidates, new therapeutic approaches and potential indications, and other inventions that are important to our business. We also rely on the skills, knowledge, and experience of our scientific and technical personnel, as well as that of our advisors, consultants, contractors, and collaborators. To help protect our proprietary know-how that we elect not to patent, such as our proprietary Native Complex Platform®, processes for which patents are difficult to enforce, and any other elements of our product candidates, technology and product discovery and development processes that involve proprietary know-how, information, or technology that is not covered by patents, we rely on confidentiality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agreements to protect our interests. We generally require our employees, consultants, scientific advisors and contractors to enter into confidentiality agreements prohibiting the disclosure of our confidential information and requiring disclosure and assignment to us of their ideas, developments, discoveries and inventions important to our business. In addition, we also plan to rely on regulatory protection based on orphan drug exclusivities, data exclusivities, and market exclusivities. See the subsection section titled “—Government Regulation” for additional information.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patent positions of biotechnology and pharmaceutical companies like us are generally uncertain and can involve complex legal, scientific, and factual issues. We cannot predict whether the patent applications we are currently pursuing will issue as patents in any particular jurisdiction or whether the claims of any issued patents will provide sufficient proprietary protection from competitors. We also cannot ensure that patents will issue with respect to any patent applications that we may file in the future, nor can we ensure that any of our patents or future patents will be commercially useful in protecting our product candidates and methods of using or manufacturing the same. In addition, the coverage claimed in a patent application may be significantly reduced before a patent is issued, and its scope can be reinterpreted and even challenged after issuance. As a result, we cannot guarantee that any of our product candidates, if they obtain required regulatory approvals, will be protectable or remain protected by enforceable patents. Moreover, any patents that we hold may be challenged, circumvented, or invalidated by third parties.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commercial success will also depend in part on our ability to operate without infringing the proprietary intellectual property rights of third parties, and in part on our ability to prevent others from infringing our proprietary rights. It is uncertain whether the issuance of any third-party patent would require us to alter our development or commercial strategies, or our future drugs or processes, obtain licenses, or cease certain activities. Our breach of any license agreements or failure to obtain a license to proprietary rights that we may require to develop or commercialize our future drugs may have an adverse impact on us. See “Risk Factors—Risks Related to Intellectual Property” for a more comprehensive description of risks related to our intellectual property. </w:t>
      </w:r>
    </w:p>
    <w:p>
      <w:pPr>
        <w:pStyle w:val="TextBody"/>
        <w:bidi w:val="0"/>
        <w:spacing w:before="360" w:after="283"/>
        <w:jc w:val="both"/>
        <w:rPr>
          <w:rFonts w:ascii="Times New Roman" w:hAnsi="Times New Roman"/>
          <w:sz w:val="20"/>
        </w:rPr>
      </w:pPr>
      <w:r>
        <w:rPr>
          <w:rFonts w:ascii="Times New Roman" w:hAnsi="Times New Roman"/>
          <w:b/>
          <w:i/>
          <w:color w:val="000000"/>
          <w:sz w:val="20"/>
        </w:rPr>
        <w:t>Patent Filings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generally file patent applications directed to our product candidates in an effort to secure our intellectual property positions vis-à-vis these programs. For our product candidates, we will, in general, initially pursue patent protection covering compositions of matter and therapeutic methods of use. Throughout the development of our product candidates, we will seek to identify additional means of obtaining patent protection that would potentially enhance commercial success, including by protecting inventions related to additional methods of use, processes of making, formulations and dosing regimens. As of March 1, 2026, we owned 2 issued patents and 135 pending patent applications in the United States, Europe, Japan, China and other territories, covering our product candidates and our research efforts. Assuming the timely payment of all applicable maintenance fees, our issued patents are projected to expire between 2044 and 2045, and our pending applications, if issued, are projected to expire between 2043 and 2046.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March 1, 2026, for our programs directed to small molecule agonists of PTH1R, small molecule inhibitors of MRGPRX2, and small molecule inhibitors of TSHR, and methods of using each of the foregoing, we own a total of 12 patent families. Assuming the timely payment of all applicable maintenance fees, the patents that may ultimately issue from families are projected to expire between 2043 and 2046. </w:t>
      </w:r>
    </w:p>
    <w:p>
      <w:pPr>
        <w:pStyle w:val="TextBody"/>
        <w:bidi w:val="0"/>
        <w:spacing w:before="360" w:after="283"/>
        <w:jc w:val="both"/>
        <w:rPr>
          <w:rFonts w:ascii="Times New Roman" w:hAnsi="Times New Roman"/>
          <w:sz w:val="20"/>
        </w:rPr>
      </w:pPr>
      <w:r>
        <w:rPr>
          <w:rFonts w:ascii="Times New Roman" w:hAnsi="Times New Roman"/>
          <w:b/>
          <w:i/>
          <w:color w:val="000000"/>
          <w:sz w:val="20"/>
        </w:rPr>
        <w:t>Patent Term Extensions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United States, the term of a patent covering an FDA-approved drug may, in certain cases, be eligible for a patent term extension under the Hatch-Waxman Act as compensation for the loss of patent term during the FDA regulatory review process. The period of extension may be up to five years, but cannot extend beyond a total of 14 years from the date of product approval. Only one patent among those eligible for an extension and only those claims covering the approved drug, a method for using it, or a method for manufacturing it may be extended. Similar provisions are available in Europe and in certain other jurisdictions to extend the term of a patent that covers an approved drug. If one or more of our pending United States patent applications are issued as United States patents covering our products or their therapeutic use it is possible that the patents may be entitled to patent term extensions. If a therapeutic use of a drug candidate or the drug candidate itself receives FDA approval, we intend to apply for patent term extensions, if available, to extend the term of patents that cover the approved use or drug candidate. We also intend to seek patent term extensions in any other jurisdictions where available. However, there is no guarantee that the applicable authorities, including the FDA, will agree with our assessment of whether such extensions should be granted and even if granted, the length of such extensions. </w:t>
      </w:r>
    </w:p>
    <w:p>
      <w:pPr>
        <w:pStyle w:val="TextBody"/>
        <w:bidi w:val="0"/>
        <w:spacing w:before="360" w:after="283"/>
        <w:jc w:val="both"/>
        <w:rPr>
          <w:rFonts w:ascii="Times New Roman" w:hAnsi="Times New Roman"/>
          <w:sz w:val="20"/>
        </w:rPr>
      </w:pPr>
      <w:r>
        <w:rPr>
          <w:rFonts w:ascii="Times New Roman" w:hAnsi="Times New Roman"/>
          <w:b/>
          <w:i/>
          <w:color w:val="000000"/>
          <w:sz w:val="20"/>
        </w:rPr>
        <w:t>Trade Secrets &amp; Know-how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to patent protection, we also rely on trade secrets, trademarks, proprietary information, confidential know-how, and continuing technological innovation to develop and maintain our competitive position. Our trade secrets, proprietary information, and confidential know-how includes our Native Complex Platform®. However, trade secrets, proprietary information, and confidential know-how can be difficult to protect. We seek to protect our trade secrets, proprietary information, and confidential know-how, in part,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using confidentiality agreements with any collaborators, scientific advisors, employees, and consultants and invention assignment agreements with our employees. We also have agreements requiring assignment of inventions with selected consultants, scientific advisors, and collaborators. These agreements may not provide adequate protection. These agreements may also be breached, and we may not have an adequate remedy for any such breach. In addition, our trade secrets, proprietary information, and confidential know-how may become known or be independently developed by a third party, or misused by any collaborator to whom we disclose such information. Despite any measures taken to protect our intellectual property, unauthorized parties may attempt to copy aspects of our products or obtain or use information that we regard as proprietary. Although we take steps to protect our proprietary information, third parties may independently develop substantially the same or similar proprietary information and techniques or may otherwise gain access to our proprietary information. As a result, we may not be able to meaningfully protect our trade secrets, proprietary information, and confidential know-how. For more information regarding the risks related to our intellectual property, see the section titled “Risk Factors—Risks Related to Intellectual Property.” </w:t>
      </w:r>
    </w:p>
    <w:p>
      <w:pPr>
        <w:pStyle w:val="TextBody"/>
        <w:bidi w:val="0"/>
        <w:spacing w:before="360" w:after="283"/>
        <w:jc w:val="both"/>
        <w:rPr>
          <w:rFonts w:ascii="Times New Roman" w:hAnsi="Times New Roman"/>
          <w:sz w:val="20"/>
        </w:rPr>
      </w:pPr>
      <w:r>
        <w:rPr>
          <w:rFonts w:ascii="Times New Roman" w:hAnsi="Times New Roman"/>
          <w:b/>
          <w:color w:val="000000"/>
          <w:sz w:val="20"/>
        </w:rPr>
        <w:t>Government Regulation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Government authorities in the United States, at the federal, state and local level, and in other countries and jurisdictions, including the European Union (the “EU”),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require the expenditure of substantial time and financial resources. </w:t>
      </w:r>
    </w:p>
    <w:p>
      <w:pPr>
        <w:pStyle w:val="TextBody"/>
        <w:bidi w:val="0"/>
        <w:spacing w:before="360" w:after="283"/>
        <w:jc w:val="both"/>
        <w:rPr>
          <w:rFonts w:ascii="Times New Roman" w:hAnsi="Times New Roman"/>
          <w:sz w:val="20"/>
        </w:rPr>
      </w:pPr>
      <w:r>
        <w:rPr>
          <w:rFonts w:ascii="Times New Roman" w:hAnsi="Times New Roman"/>
          <w:b/>
          <w:i/>
          <w:color w:val="000000"/>
          <w:sz w:val="20"/>
        </w:rPr>
        <w:t>Review and Approval of Drugs in the United States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United States, the FDA regulates drugs under the U.S. Federal Food, Drug, and Cosmetic Act (“FDCA”) and its implementing regulations. The failure to comply with applicable U.S. requirements at any time during the product development process, approval process or after approval may subject an applicant and/or sponsor to a variety of administrative or judicial sanctions, including refusal by the FDA to approve pending applications, withdrawal of an approval, imposition of a clinical hold, issuance of warning letters and other types of letters, product seizures, total or partial suspension of production or distribution, injunctions, fines, refusals of government contracts, restitution, disgorgement of profits, or civil or criminal investigations and penalties brought by the FDA and the U.S. Department of Justice or other governmental entities. In addition, an applicant may need to recall a product.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 applicant seeking approval to market and distribute a new drug product in the United States must typically undertake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completion of nonclinical, or preclinical, laboratory tests, animal studies and formulation studies in compliance with the FDA’s good laboratory practice (“GLP”)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submission to the FDA of an IND which must take effect before human clinical trials may begin;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approval by an institutional review board (“IRB”) representing each clinical site before each clinical trial may be initiated at that site;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performance of adequate and well-controlled human clinical trials in accordance with good clinical practices (“GCPs”) to establish the safety and efficacy of the proposed drug product for each indication;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preparation and submission to the FDA of an NDA and payment of user fees;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review of the product by an FDA advisory committee, where appropriate or if applicable;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satisfactory completion of one or more FDA inspections of the manufacturing facility or facilities at which the product, or components thereof, are produced to assess compliance with current Good Manufacturing Practices (“cGMP”) requirements and to assure that the facilities, methods and controls are adequate to preserve the product’s identity, strength, quality and purity;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satisfactory completion of FDA audits of clinical trial sites to assure compliance with GCPs and the integrity of the clinical data;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FDA review and approval of the NDA;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any post-approval requirements, including risk evaluation and mitigation strategies (“REMS”) and post-approval studies required by the FDA.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Preclinical Studies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Before an applicant begins testing a compound in humans, the drug candidate enters the preclinical testing stage. Preclinical studies include laboratory evaluation of the purity and stability of the manufactured drug substance or active pharmaceutical ingredient (“API”) and the formulated drug or drug product, as well as </w:t>
      </w:r>
      <w:r>
        <w:rPr>
          <w:rFonts w:ascii="Times New Roman" w:hAnsi="Times New Roman"/>
          <w:i/>
          <w:color w:val="000000"/>
          <w:sz w:val="20"/>
        </w:rPr>
        <w:t>in vitro</w:t>
      </w:r>
      <w:r>
        <w:rPr>
          <w:rFonts w:ascii="Times New Roman" w:hAnsi="Times New Roman"/>
          <w:color w:val="000000"/>
          <w:sz w:val="20"/>
        </w:rPr>
        <w:t xml:space="preserve"> and animal studies to assess the safety and activity of the drug for initial testing in humans and to establish a rationale for therapeutic use. The conduct of preclinical studies is subject to federal regulations and requirements, including GLP regulations. Some long-term preclinical testing, such as animal tests of reproductive adverse effects and carcinogenicity, may continue after the IND is submitted. </w:t>
      </w:r>
    </w:p>
    <w:p>
      <w:pPr>
        <w:pStyle w:val="TextBody"/>
        <w:bidi w:val="0"/>
        <w:spacing w:before="360" w:after="283"/>
        <w:jc w:val="both"/>
        <w:rPr>
          <w:rFonts w:ascii="Times New Roman" w:hAnsi="Times New Roman"/>
          <w:sz w:val="20"/>
        </w:rPr>
      </w:pPr>
      <w:r>
        <w:rPr>
          <w:rFonts w:ascii="Times New Roman" w:hAnsi="Times New Roman"/>
          <w:b/>
          <w:i/>
          <w:color w:val="000000"/>
          <w:sz w:val="20"/>
        </w:rPr>
        <w:t>The IND and IRB Processes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 IND is an exemption from the FDCA that allows an unapproved drug to be shipped in interstate commerce for use in an investigational clinical trial and a request for FDA authorization to administer such investigational drug to humans. Such authorization must be secured prior to interstate shipment and administration of the investigational drug. In an IND, applicants must submit a protocol for each clinical trial and any subsequent protocol amendments. In addition, an applicant submits the results of the preclinical tests, manufacturing information, analytical data, any available clinical data or literature and plans for clinical trials, among other things, to the FDA as part of an IND. An IND automatically becomes effective 30 days after receipt by the FDA, unless before that time, the FDA raises concerns or questions related to one or more proposed clinical trials and places the trial on clinical hold. The FDA also may impose a clinical hold or partial clinical hold after commencement of a clinical trial under an IND. A clinical hold is an order issued by the FDA to the sponsor to delay a proposed clinical investigation or to suspend an ongoing investigation. A partial clinical hold is a delay or suspension of only part of the clinical work requested under the IND. No more than 30 days after imposition of a clinical hold or partial clinical hold, the FDA will provide the sponsor a written explanation of the basis for the hold. Following issuance of a clinical hold or partial clinical hold, an investigation (or full investigation in the case of a partial clinical hold) may only resume after the FDA has notified the sponsor that the investigation may proceed. The FDA will base that determination on information provided by the sponsor correcting the deficiencies previously cited or otherwise satisfying the FDA that the investigation can proceed.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sponsor may choose, but is not required, to conduct a foreign clinical trial under an IND. When a foreign clinical trial is conducted under an IND, all FDA IND requirements must be met unless waived. When the foreign clinical trial is not conducted under an IND, the sponsor must ensure that the study is conducted in accordance with GCP, including review and approval by an independent ethics committee (“IEC”) and informed consent from subjects. The GCP requirements are intended to help ensure the protection of human subjects enrolled in non-IND foreign clinical trials, as well as the quality and integrity of the resulting data. FDA must also be able to validate the data from the study through an on-site inspection if necessary.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the foregoing IND requirements, an IRB representing each institution participating in the clinical trial must review and approve the plan for any clinical trial before it commences at that institution, and the IRB must conduct continuing review of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some trials are overseen by an independent group of qualified experts organized by the trial sponsor, known as a data safety monitoring board or committee. This group provides authorization for whether or not a trial may move forward at designated check points based on access that only the group maintains to available data from the study. The FDA or the sponsor may suspend or terminate a clinical trial at any time on various grounds, including a finding that the research subjects are being exposed to an unacceptable health risk.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Information about certain clinical trials must be submitted within specific timeframes to the National Institutes of Health (NIH) for public dissemination on its </w:t>
      </w:r>
      <w:r>
        <w:rPr>
          <w:rFonts w:ascii="Times New Roman" w:hAnsi="Times New Roman"/>
          <w:i/>
          <w:color w:val="000000"/>
          <w:sz w:val="20"/>
        </w:rPr>
        <w:t>ClinicalTrials.gov</w:t>
      </w:r>
      <w:r>
        <w:rPr>
          <w:rFonts w:ascii="Times New Roman" w:hAnsi="Times New Roman"/>
          <w:color w:val="000000"/>
          <w:sz w:val="20"/>
        </w:rPr>
        <w:t xml:space="preserve"> website. </w:t>
      </w:r>
    </w:p>
    <w:p>
      <w:pPr>
        <w:pStyle w:val="TextBody"/>
        <w:bidi w:val="0"/>
        <w:spacing w:before="360" w:after="283"/>
        <w:jc w:val="both"/>
        <w:rPr>
          <w:rFonts w:ascii="Times New Roman" w:hAnsi="Times New Roman"/>
          <w:sz w:val="20"/>
        </w:rPr>
      </w:pPr>
      <w:r>
        <w:rPr>
          <w:rFonts w:ascii="Times New Roman" w:hAnsi="Times New Roman"/>
          <w:i/>
          <w:color w:val="000000"/>
          <w:sz w:val="20"/>
        </w:rPr>
        <w:t>Human Clinical Trials in Support of an NDA</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Clinical trials involve the administration of the investigational product to human subjects under the supervision of qualified investigators in accordance with GCP requirements, which include, among other things, the requirement that all research subjects, or their legal representative, provide their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Human clinical trials are typically conducted in three sequential phases, which may overlap or be combined: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Phase 1. The drug is initially introduced into healthy human subjects or, in certain indications such as cancer, patients with the target disease or condition and tested for safety, dosage tolerance, absorption, metabolism, distribution, excretion and, if possible, to gain an early indication of its effectiveness and to determine maximal dosage.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Phase 2. The drug is administered to a limited patient population to identify possible adverse effects (“AEs”) and safety risks, to preliminarily evaluate the efficacy of the product for specific targeted diseases and to determine dosage tolerance and optimal dosage.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Phase 3. The drug is administered to an expanded patient population, generally at geographically dispersed clinical trial sites, in well-controlled clinical trials to generate enough data to evaluate the efficacy and safety of the product for approval, to establish the overall risk-benefit profile of the product and to provide adequate information for the labeling of the product. Post-approval studies, often referred to as Phase 4 studies, may be conducted after initial regulatory approval. These studies are used to gain additional experience from the treatment of patients in the intended therapeutic indication.</w:t>
      </w:r>
    </w:p>
    <w:p>
      <w:pPr>
        <w:pStyle w:val="TextBody"/>
        <w:bidi w:val="0"/>
        <w:jc w:val="both"/>
        <w:rPr>
          <w:rFonts w:ascii="Times New Roman" w:hAnsi="Times New Roman"/>
          <w:sz w:val="20"/>
        </w:rPr>
      </w:pPr>
      <w:r>
        <w:rPr>
          <w:rFonts w:ascii="Times New Roman" w:hAnsi="Times New Roman"/>
          <w:color w:val="000000"/>
          <w:sz w:val="20"/>
        </w:rPr>
        <w:t xml:space="preserve">Progress reports detailing the results of the clinical trials must be submitted at least annually to the FDA. In addition, within 15 calendar days after the sponsor determines that the information qualifies for reporting, IND safety reports must be submitted to the FDA for any of the following: serious and unexpected suspected adverse reactions; findings from other studies or animal or </w:t>
      </w:r>
      <w:r>
        <w:rPr>
          <w:rFonts w:ascii="Times New Roman" w:hAnsi="Times New Roman"/>
          <w:i/>
          <w:color w:val="000000"/>
          <w:sz w:val="20"/>
        </w:rPr>
        <w:t>in vitro</w:t>
      </w:r>
      <w:r>
        <w:rPr>
          <w:rFonts w:ascii="Times New Roman" w:hAnsi="Times New Roman"/>
          <w:color w:val="000000"/>
          <w:sz w:val="20"/>
        </w:rPr>
        <w:t xml:space="preserve"> testing that suggest a significant risk in humans exposed to the drug; and any clinically important increase in the case of a serious suspected adverse reaction over that listed in the protocol or investigator brochure.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or at all. The FDA will typically inspect one or more clinical sites to assure compliance with GCP and the integrity of the clinical data submitted.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Concurrent with clinical trials, companies often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the applicant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 </w:t>
      </w:r>
    </w:p>
    <w:p>
      <w:pPr>
        <w:pStyle w:val="TextBody"/>
        <w:bidi w:val="0"/>
        <w:spacing w:before="360" w:after="283"/>
        <w:jc w:val="both"/>
        <w:rPr>
          <w:rFonts w:ascii="Times New Roman" w:hAnsi="Times New Roman"/>
          <w:sz w:val="20"/>
        </w:rPr>
      </w:pPr>
      <w:r>
        <w:rPr>
          <w:rFonts w:ascii="Times New Roman" w:hAnsi="Times New Roman"/>
          <w:b/>
          <w:i/>
          <w:color w:val="000000"/>
          <w:sz w:val="20"/>
        </w:rPr>
        <w:t>Review of an NDA by the FDA</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Assuming successful completion of required clinical testing and other requirements, the results of the preclinical studies and clinical trials, together with detailed information relating to the product’s chemistry, manufacture, controls and proposed labeling, among other things, are submitted to the FDA as part of an NDA requesting approval to market the drug product for one or more indications. Under federal law, the submission of most NDAs is additionally subject to a significant application user fee as well as annual prescription drug product program fees. These fees are typically increased annually. Certain exceptions and waivers are available for some of these fees.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FDA conducts a preliminary review of an NDA within 60 days of its receipt, before accepting the NDA for filing, to determine whether the application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Applications for drugs containing new molecular entities are meant to be reviewed within 10 months from the date of filing, and applications for “priority review” products containing new molecular entities are meant to be reviewed within six months of filing. The review process may be extended by the FDA for three additional months to consider new information or clarification provided by the applicant to address an outstanding deficiency identified by the FDA following the original submission.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its review of an NDA, the FDA typically will inspect the facility or facilities where the product is or will be manufactured. These pre-approval inspections may cover all facilities associated with an NDA, including drug component manufacturing (such as APIs), finished drug product manufacturing, and control testing laboratories. The FDA will not approve an NDA unless it determines that the manufacturing processes and facilities are in compliance with cGMP requirements and adequate to assure consistent production of the product within required specifications.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as a condition of approval, the FDA may require an applicant to develop a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AEs, and whether the product is a new molecular entity. REMS can include medication guides, physician communication plans for healthcare professionals, and elements to assure safe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use (“ETASU”). ETASU may include, but are not limited to, special training or certification for prescribing or dispensing, dispensing only under certain circumstances, special monitoring, and the use of patient registries. The FDA may require a REMS before approval or post-approval if it becomes aware of a serious risk associated with use of the product.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FDA is required to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 </w:t>
      </w:r>
    </w:p>
    <w:p>
      <w:pPr>
        <w:pStyle w:val="TextBody"/>
        <w:bidi w:val="0"/>
        <w:jc w:val="both"/>
        <w:rPr>
          <w:rFonts w:ascii="Times New Roman" w:hAnsi="Times New Roman"/>
          <w:sz w:val="20"/>
        </w:rPr>
      </w:pPr>
      <w:r>
        <w:rPr>
          <w:rFonts w:ascii="Times New Roman" w:hAnsi="Times New Roman"/>
          <w:i/>
          <w:color w:val="000000"/>
          <w:sz w:val="20"/>
        </w:rPr>
        <w:t>Fast Track, Breakthrough Therapy, and Priority Review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has a number of programs intended to facilitate and expedite development and review of new drugs if they are intended to address an unmet medical need in the treatment of a serious or life-threatening disease or condition. Three of these programs are referred to as Fast Track Designation, Breakthrough Therapy Designation, and priority review designation.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Second,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Third, the FDA may designate an NDA review for a priority review if it is for a product that treats a serious or life-threatening disease or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10 months to six months. </w:t>
      </w:r>
    </w:p>
    <w:p>
      <w:pPr>
        <w:pStyle w:val="TextBody"/>
        <w:bidi w:val="0"/>
        <w:spacing w:before="360" w:after="283"/>
        <w:jc w:val="both"/>
        <w:rPr>
          <w:rFonts w:ascii="Times New Roman" w:hAnsi="Times New Roman"/>
          <w:sz w:val="20"/>
        </w:rPr>
      </w:pPr>
      <w:r>
        <w:rPr>
          <w:rFonts w:ascii="Times New Roman" w:hAnsi="Times New Roman"/>
          <w:i/>
          <w:color w:val="000000"/>
          <w:sz w:val="20"/>
        </w:rPr>
        <w:t>Accelerated Approval Pathway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or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accelerated approval pathway is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Under the Food and Drug Omnibus Reform Act of 2022 (“FDORA”), the FDA is permitted to require, as appropriate, that such trials be underway prior to approval or within a specific time period after the date of approval for a product granted accelerated approval. Sponsors are also required to send updates to the FDA every 180 days on the status of such studies, including progress toward enrollment targets, and the FDA must promptly post this information publicly. Under FDORA, the FDA has increased authority for expedited procedures to withdraw approval of a drug or indication approved under accelerated approval if, for example, the sponsor fails to conduct such studies in a timely manner and send the necessary updates to the FDA, or if a confirmatory trial fails to verify the predicted clinical benefit of the product. In addition, the FDA generally requires, unless otherwise informed by the agency, pre-approval of promotional materials for product candidates approved under accelerated regulations, which could adversely impact the timing of the commercial launch of the product. </w:t>
      </w:r>
    </w:p>
    <w:p>
      <w:pPr>
        <w:pStyle w:val="TextBody"/>
        <w:bidi w:val="0"/>
        <w:spacing w:before="360" w:after="283"/>
        <w:jc w:val="both"/>
        <w:rPr>
          <w:rFonts w:ascii="Times New Roman" w:hAnsi="Times New Roman"/>
          <w:sz w:val="20"/>
        </w:rPr>
      </w:pPr>
      <w:r>
        <w:rPr>
          <w:rFonts w:ascii="Times New Roman" w:hAnsi="Times New Roman"/>
          <w:b/>
          <w:i/>
          <w:color w:val="000000"/>
          <w:sz w:val="20"/>
        </w:rPr>
        <w:t>The FDA’s Decision on an NDA</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the basis of the FDA’s evaluation of the NDA and accompanying information, including the results of the inspection of the manufacturing facilities and select clinical trial sites,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 complete response letter is issued, the applicant may resubmit the NDA to address all of the deficiencies identified in the letter, withdraw the application, or request a hearing. If the applicant resubmits the NDA, the FDA will issue an approval letter only when the deficiencies have been addressed to the FDA’s satisfaction. The FDA has committed to reviewing such resubmissions in two or six months depending on the type of information included. Even with submission of this additional information, the FDA ultimately may decide that the application does not satisfy the regulatory criteria for approval.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the FDA approves a product, it may limit the approved indications for use for the product, require that contraindications, warnings or precautions be included in the product labeling, require that post-approval studies, including Phase 4 clinical trials, be conducted to further assess the drug’s safety or effectiveness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 </w:t>
      </w:r>
    </w:p>
    <w:p>
      <w:pPr>
        <w:pStyle w:val="TextBody"/>
        <w:bidi w:val="0"/>
        <w:spacing w:before="360" w:after="283"/>
        <w:jc w:val="both"/>
        <w:rPr>
          <w:rFonts w:ascii="Times New Roman" w:hAnsi="Times New Roman"/>
          <w:sz w:val="20"/>
        </w:rPr>
      </w:pPr>
      <w:r>
        <w:rPr>
          <w:rFonts w:ascii="Times New Roman" w:hAnsi="Times New Roman"/>
          <w:b/>
          <w:i/>
          <w:color w:val="000000"/>
          <w:sz w:val="20"/>
        </w:rPr>
        <w:t>Post-Approval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Drugs manufactured or distributed pursuant to FDA approvals are subject to pervasive and continuing regulation by the FDA, including, among other things, requirements relating to recordkeeping, periodic reporting, product sampling and distribution, advertising and promotion, reporting of adverse experiences with the product and applicable product tracking and tracing requirements. After approval, many changes to the approved product, such as adding new indications or other labeling claims, are subject to prior FDA review and approval. There also are annual prescription drug product program fee requirements for certain marketed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NDA holder and any third-party manufacturers that the NDA holder may decide to use. Accordingly, manufacturers must continue to expend time, money, and effort in the area of production and quality control to maintain cGMP compliance.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Once an approval is granted, the FDA may withdraw the approval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restrictions on the marketing or manufacturing of the product, complete withdrawal of the product from the market or voluntary product recalls;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fines, warning or untitled letters or holds on post-approval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refusal of the FDA to approve pending NDAs or supplements to approved NDAs, or suspension or revocation of product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seizure or detention, or refusal to permit the import or export of products;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FDA strictly regulates marketing, labeling, advertising and promotion of products that are placed on the market. Drugs may be promoted only for the approved indications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and a company that is found to have improperly promoted off-label uses may be subject to significant liability.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time to time, legislation is drafted, introduced, passed in Congress and signed into law that could significantly change the statutory provisions governing the approval, manufacturing, and marketing of products regulated by the FDA. In addition to new legislation, FDA regulations, guidances, and policies are often revised or reinterpreted by the agency in ways that may significantly affect the manner in which pharmaceutical products are regulated and marketed.</w:t>
      </w:r>
    </w:p>
    <w:p>
      <w:pPr>
        <w:pStyle w:val="TextBody"/>
        <w:bidi w:val="0"/>
        <w:spacing w:before="360" w:after="283"/>
        <w:jc w:val="both"/>
        <w:rPr>
          <w:rFonts w:ascii="Times New Roman" w:hAnsi="Times New Roman"/>
          <w:sz w:val="20"/>
        </w:rPr>
      </w:pPr>
      <w:r>
        <w:rPr>
          <w:rFonts w:ascii="Times New Roman" w:hAnsi="Times New Roman"/>
          <w:b/>
          <w:i/>
          <w:color w:val="000000"/>
          <w:sz w:val="20"/>
        </w:rPr>
        <w:t>Hatch-Waxman Amendments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Section 505 of the 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Section 505(j) establishes an abbreviated approval process for a generic version of approved drug products through the submission of an Abbreviated New Drug Application (“ANDA”). An ANDA provides for marketing of a generic drug product that has the same active ingredients, dosage form, strength, route of administration, labeling, performance characteristics and intended use, among other things, to a previously approved product, known as a reference listed drug (“RLD”). ANDAs are termed “abbreviated” because they are generally not required to include preclinical (animal) and clinical (human) data to establish safety and efficacy. Instead, generic applicants must scientifically demonstrate that their product is bioequivalent to, or performs in the same manner as, the innovator drug through </w:t>
      </w:r>
      <w:r>
        <w:rPr>
          <w:rFonts w:ascii="Times New Roman" w:hAnsi="Times New Roman"/>
          <w:i/>
          <w:color w:val="000000"/>
          <w:sz w:val="20"/>
        </w:rPr>
        <w:t>in vitro</w:t>
      </w:r>
      <w:r>
        <w:rPr>
          <w:rFonts w:ascii="Times New Roman" w:hAnsi="Times New Roman"/>
          <w:color w:val="000000"/>
          <w:sz w:val="20"/>
        </w:rPr>
        <w:t xml:space="preserve">, </w:t>
      </w:r>
      <w:r>
        <w:rPr>
          <w:rFonts w:ascii="Times New Roman" w:hAnsi="Times New Roman"/>
          <w:i/>
          <w:color w:val="000000"/>
          <w:sz w:val="20"/>
        </w:rPr>
        <w:t>in vivo</w:t>
      </w:r>
      <w:r>
        <w:rPr>
          <w:rFonts w:ascii="Times New Roman" w:hAnsi="Times New Roman"/>
          <w:color w:val="000000"/>
          <w:sz w:val="20"/>
        </w:rPr>
        <w:t xml:space="preserve">, or other testing. The generic version must deliver the same amount of active ingredients into a subject’s bloodstream in the same amount of time as the innovator drug and can often be substituted by pharmacists under prescriptions written for the reference listed drug. </w:t>
      </w:r>
    </w:p>
    <w:p>
      <w:pPr>
        <w:pStyle w:val="TextBody"/>
        <w:bidi w:val="0"/>
        <w:spacing w:before="360" w:after="283"/>
        <w:jc w:val="both"/>
        <w:rPr>
          <w:rFonts w:ascii="Times New Roman" w:hAnsi="Times New Roman"/>
          <w:sz w:val="20"/>
        </w:rPr>
      </w:pPr>
      <w:r>
        <w:rPr>
          <w:rFonts w:ascii="Times New Roman" w:hAnsi="Times New Roman"/>
          <w:b/>
          <w:i/>
          <w:color w:val="000000"/>
          <w:sz w:val="20"/>
        </w:rPr>
        <w:t>Non-Patent Exclusivity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Hatch-Waxman Amendments, the FDA may not approve (or in some cases accept) an ANDA or 505(b)(2) application until any applicable period of non-patent exclusivity for the RLD has expired. The FDCA provides a period of five years of non-patent data exclusivity for a new drug containing a new chemical entity (“NCE”). For the purposes of this provision, an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which states the proposed generic drug will not infringe one or more of the already approved product’s listed patents or that such patents are invalid or unenforceable, in which case the applicant may submit its application four years following the original product approval.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FDCA also provides for a period of three years of exclusivity for non-NCE drugs if the NDA or a supplement to the NDA includes reports of one or more new clinical investigations, other than bioavailability or bioequivalence studies, that were conducted 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or for the applicant and are essential to the approval of the application or supplement. This three-year exclusivity period often protects changes to a previously approved drug product, such as a new dosage form, route of administration, combination or indication, but it generally would not protect the original, unmodified product from generic competition. Unlike five-year NCE exclusivity, an award of three-year exclusivity does not block the FDA from accepting ANDAs seeking approval for generic versions of the drug as of the date of approval of the original drug product; it only prevents FDA from approving such ANDAs.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drug product can obtain pediatric market exclusivity in the United States. Pediatric exclusivity, if granted, adds six months to existing exclusivity periods for all formulations, dosage forms, and indications of the active moiety and to patent terms. This six-month exclusivity, which runs from the end of other exclusivity protection and patent term, may be granted based on the voluntary completion of a pediatric study in accordance with an FDA-issued “Written Request” for such a study, provided that at the time pediatric exclusivity is granted there is not less than nine months of term remaining. </w:t>
      </w:r>
    </w:p>
    <w:p>
      <w:pPr>
        <w:pStyle w:val="TextBody"/>
        <w:bidi w:val="0"/>
        <w:spacing w:before="360" w:after="283"/>
        <w:jc w:val="both"/>
        <w:rPr>
          <w:rFonts w:ascii="Times New Roman" w:hAnsi="Times New Roman"/>
          <w:sz w:val="20"/>
        </w:rPr>
      </w:pPr>
      <w:r>
        <w:rPr>
          <w:rFonts w:ascii="Times New Roman" w:hAnsi="Times New Roman"/>
          <w:b/>
          <w:i/>
          <w:color w:val="000000"/>
          <w:sz w:val="20"/>
        </w:rPr>
        <w:t>Hatch-Waxman Patent Certification and the 30-Month Stay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seeking approval of an NDA or a supplement thereto, NDA sponsors are required to list with the FDA each patent with claims that cover the applicant’s product or an approved method of using the product. Upon approval, each of the patents listed by the NDA sponsor is published in the FDA’s Approved Drug Products with Therapeutic Equivalence Evaluations, commonly known as the Orange Book. Upon submission of an ANDA or 505(b)(2) NDA, an applicant is required to certify to the FDA concerning any patents listed for the RLD in the Orange Book that: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patent information on the drug product that is the subject of the application has been submitted to the FDA;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such patent has expired;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date on which such patent expires;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such patent is invalid, unenforceable or will not be infringed upon by the manufacture, use, or sale of the drug product for which the application is submitted.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Generally, the ANDA or 505(b)(2) NDA cannot be approved until all listed patents have expired, except where the ANDA or 505(b)(2) NDA applicant challenges a listed patent through the last type of certification, also known as a paragraph IV certification. If the applicant does not challenge the listed patents or indicates that it is not seeking approval of a patented method of use, the ANDA or 505(b)(2) NDA application will not be approved until all of the listed patents claiming the referenced product have expired. If the ANDA or 505(b)(2) NDA applicant has provided a paragraph IV certification the applicant must send notice of the paragraph IV certification to the NDA and patent holders once the application has been accepted for filing by the FDA. The NDA and patent holders may then initiate a patent infringement lawsuit in response to the notice of the paragraph IV certification. If the paragraph IV certification is challenged by an NDA holder or the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30-month stay. In 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 If the drug has NCE exclusivity and the ANDA is submitted four years after approval, the 30-month stay is extended so that it expires seven and a half years after approval of the innovator drug, unless the patent expires or there is a decision in the infringement case that is favorable to the ANDA applicant before then. </w:t>
      </w:r>
    </w:p>
    <w:p>
      <w:pPr>
        <w:pStyle w:val="TextBody"/>
        <w:bidi w:val="0"/>
        <w:spacing w:before="360" w:after="283"/>
        <w:jc w:val="both"/>
        <w:rPr>
          <w:rFonts w:ascii="Times New Roman" w:hAnsi="Times New Roman"/>
          <w:sz w:val="20"/>
        </w:rPr>
      </w:pPr>
      <w:r>
        <w:rPr>
          <w:rFonts w:ascii="Times New Roman" w:hAnsi="Times New Roman"/>
          <w:b/>
          <w:i/>
          <w:color w:val="000000"/>
          <w:sz w:val="20"/>
        </w:rPr>
        <w:t>Patent Term Restoration and Extension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patent claiming a new drug product may be eligible for a limited patent term extension under the Hatch-Waxman Amendments, which permits a patent term restoration of up to five years for patent term lost during product development and the FDA regulatory review. The restoration period granted is typically one-half the time between the effective date of an IND and the submission date of an NDA, plus the time between the submission date of an NDA and the ultimate approval date, provided the sponsor acted with diligence.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and within 60 days of drug approval. A patent that covers multiple drugs for which approval is sought can only be extended in connection with one of the approvals. The U.S. Patent and Trademark Office (“USPTO”) reviews and approves the application for any patent term extension or restoration in consultation with the FDA. </w:t>
      </w:r>
    </w:p>
    <w:p>
      <w:pPr>
        <w:pStyle w:val="TextBody"/>
        <w:bidi w:val="0"/>
        <w:spacing w:before="360" w:after="283"/>
        <w:jc w:val="both"/>
        <w:rPr>
          <w:rFonts w:ascii="Times New Roman" w:hAnsi="Times New Roman"/>
          <w:sz w:val="20"/>
        </w:rPr>
      </w:pPr>
      <w:r>
        <w:rPr>
          <w:rFonts w:ascii="Times New Roman" w:hAnsi="Times New Roman"/>
          <w:b/>
          <w:i/>
          <w:color w:val="000000"/>
          <w:sz w:val="20"/>
        </w:rPr>
        <w:t>Review and Approval of Medicinal Products in the European Union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commence clinical trials or marketing of the product in those countries or jurisdictions. Specifically, the process governing approval of medicinal products in the EU generally follows similar lines as in the United States. It entails satisfactory completion of preclinical studies and adequate and well-controlled clinical trials to establish the safety and efficacy of the product for each proposed indication. It also requires a submission to the relevant competent authorities of a marketing authorization application (“MAA”) and granting of a marketing authorization by these authorities before the product can be marketed and sold in the EU. </w:t>
      </w:r>
    </w:p>
    <w:p>
      <w:pPr>
        <w:pStyle w:val="TextBody"/>
        <w:bidi w:val="0"/>
        <w:spacing w:before="360" w:after="283"/>
        <w:jc w:val="both"/>
        <w:rPr>
          <w:rFonts w:ascii="Times New Roman" w:hAnsi="Times New Roman"/>
          <w:sz w:val="20"/>
        </w:rPr>
      </w:pPr>
      <w:r>
        <w:rPr>
          <w:rFonts w:ascii="Times New Roman" w:hAnsi="Times New Roman"/>
          <w:i/>
          <w:color w:val="000000"/>
          <w:sz w:val="20"/>
        </w:rPr>
        <w:t>Clinical Trial Approval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EU, an applicant for authorization of a clinical trial must obtain prior approval from the national competent authority of the EU Member States in which the clinical trial is to be conducted. Furthermore, the applicant may only start a clinical trial at a specific study site after the relevant independent ethics committee has issued a favorable opinion. In April 2014, the Clinical Trials Regulation, (EU) No 536/2014 (Clinical Trials Regulation) was adopted in the EU. The Clinical Trials Regulation is directly applicable in all the EU Member States and repealed the Clinical Trials Directive 2001/20/EC, as of January 31, 2022.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Clinical Trials Regulation aims to simplify and streamline the approval of clinical trials in the EU. The main characteristics of the regulation include: a streamlined application procedure via a single entry point, known as the “Clinical Trials Information System”;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an elected Reference Member State, with support of the competent authorities of all EU Member States in which an application for authorization of a clinical trial has been submitted (the Member States concerned). Part II is assessed separately by each Member State concerned. Strict deadlines have been established for the assessment of clinical trial applications. The role of the relevant ethics committees in the assessment procedure continues to be governed by the national laws of the concerned EU Member State, however overall related timelines are defined by the Clinical Trials Regulation. </w:t>
      </w:r>
    </w:p>
    <w:p>
      <w:pPr>
        <w:pStyle w:val="TextBody"/>
        <w:bidi w:val="0"/>
        <w:spacing w:before="360" w:after="283"/>
        <w:jc w:val="both"/>
        <w:rPr>
          <w:rFonts w:ascii="Times New Roman" w:hAnsi="Times New Roman"/>
          <w:sz w:val="20"/>
        </w:rPr>
      </w:pPr>
      <w:r>
        <w:rPr>
          <w:rFonts w:ascii="Times New Roman" w:hAnsi="Times New Roman"/>
          <w:i/>
          <w:color w:val="000000"/>
          <w:sz w:val="20"/>
        </w:rPr>
        <w:t>Marketing Authorization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obtain a marketing authorization for a product in the EU, an applicant must submit an MAA either under a centralized procedure administered by the European Medicines Agency (“EMA”) or one of the procedures administered by competent authorities in the EU Member States (national, decentralized or mutual recognition procedure) for obtaining a marketing authorization in one or more EU Member States. A marketing authorization may be granted only to an applicant established in the European Economic Area (“EEA”) (which is comprised of the EU Member States plus Norway, Iceland and Liechtenstein).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centralized procedure provides for the grant of a single marketing authorization by the European Commission that is valid throughout the EEA. Pursuant to Regulation (EC) No 726/2004, the centralized procedure is compulsory for specific products, including for medicines produced by certain biotechnological processes, products designated as orphan medicinal products, advanced therapy medicinal products (gene therapy, somatic cell therapy and tissue-engineered products) and products with a new active substance indicated for the treatment of certain diseases, including products for the treatment of HIV, AIDS, cancer, diabetes, neurodegenerative diseases, auto-immune and other immune dysfunctions and viral diseases. The centralized procedure is optional for other products containing a new active substance not yet authorized in the EU, or for products that constitute a significant therapeutic, scientific or technical innovation or which are in the interest of public health in the EU.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centralized procedure, the Committee for Medicinal Products for Human Use (“CHMP”) established at the EMA is responsible for conducting the initial assessment of a product. The CHMP is also responsible for several post-authorization and maintenance activities, such as the assessment of modifications or extensions to an existing marketing authorization. Under the centralized procedure, the maximum timeframe for the evaluation of an MAA is 210 days, excluding clock stops, when additional information or written or oral explanation is to be provided by the applicant in response to questions asked by the CHMP. Clock stops may extend the timeframe of evaluation of an MAA considerably beyond 210 days. Accelerated evaluation might be granted by the CHMP in exceptional cases, when a medicinal product is of major interest from a public health perspective and in particular from the point of view of therapeutic innovation. If the CHMP accepts such request, the time limit of 210 days will be reduced to 150 days, excluding clock stops,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Within 67 days from the date of the CHMP opinion, the European Commission will adopt its final decision on the MAA.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decentralized marketing authorization procedure allows an applicant to apply for simultaneous authorization in more than one EU Member State of medicinal products that have not yet been authorized in any EU Member State and that do not fall within the mandatory scope of the centralized procedure.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mutual recognition procedure is based on the acceptance by the competent authorities of the EU Member States of the marketing authorization of a medicinal product by the competent authorities of another EU Member State. The holder of a national marketing authorization may submit an application to the competent authority of an EU Member State requesting that this authority recognize the marketing authorization delivered by the competent authority of another EU Member State. </w:t>
      </w:r>
    </w:p>
    <w:p>
      <w:pPr>
        <w:pStyle w:val="TextBody"/>
        <w:bidi w:val="0"/>
        <w:spacing w:before="360" w:after="283"/>
        <w:jc w:val="both"/>
        <w:rPr>
          <w:rFonts w:ascii="Times New Roman" w:hAnsi="Times New Roman"/>
          <w:sz w:val="20"/>
        </w:rPr>
      </w:pPr>
      <w:r>
        <w:rPr>
          <w:rFonts w:ascii="Times New Roman" w:hAnsi="Times New Roman"/>
          <w:i/>
          <w:color w:val="000000"/>
          <w:sz w:val="20"/>
        </w:rPr>
        <w:t>Pediatric Development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Regulation (EC) No 1901/2006 provides that prior to obtaining a marketing authorization in the EU, applicants have to demonstrate compliance with all measures included in an EMA-approved Pediatric Investigation Plan (“PIP”) covering all subsets of the pediatric population, unless the EMA has granted (1) a product-specific waiver, (2) a class waiver or (3) a deferral for one or more of the measures included in the PIP. The PIP sets out the timing and measures proposed to generate data to support a pediatric indication of the product for which a marketing authorization is being sought. Products that are granted a marketing authorization with the results of the pediatric clinical trials conducted in accordance with the PIP are eligible for a six-month extension of the protection under a supplementary protection certificate (“SPC”), provided an application for such extension is made at the same time as filing the SPC application for the product, or at any point up to two years before the SPC expires, even where the trial results are negative. In the case of orphan medicinal products, a two-year extension of the orphan market exclusivity may be available. This pediatric reward is subject to specific conditions and is not automatically available when data in compliance with the PIP are developed and submitted. </w:t>
      </w:r>
    </w:p>
    <w:p>
      <w:pPr>
        <w:pStyle w:val="TextBody"/>
        <w:bidi w:val="0"/>
        <w:jc w:val="both"/>
        <w:rPr>
          <w:rFonts w:ascii="Times New Roman" w:hAnsi="Times New Roman"/>
          <w:sz w:val="20"/>
        </w:rPr>
      </w:pPr>
      <w:r>
        <w:rPr>
          <w:rFonts w:ascii="Times New Roman" w:hAnsi="Times New Roman"/>
          <w:i/>
          <w:color w:val="000000"/>
          <w:sz w:val="20"/>
        </w:rPr>
        <w:t>Data and Market Exclusivity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EU, innovative medicinal products approved on the basis of a complete and independent data package qualify for eight years of data exclusivity upon marketing authorization and an additional two years of market exclusivity. Data exclusivity prevents applicants for authorization of generics or biosimilars of these innovative products from referencing the innovator’s preclinical and clinical trial data contained in the dossier of the reference product when applying for a generic or biosimilar (abbreviated) marketing authorization, for a period of eight years from the date on which the reference product was first authorized in the EU. During an additional two-year period of market exclusivity, a generic or biosimilar MAA can be submitted, and the innovator’s data may be referenced, but no generic or biosimilar medicinal product can be placed on the EU market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nevertheless could also market another version of the product if such company obtained a marketing authorization based on an MAA with a complete and independent data package of pharmaceutical tests, preclinical tests and clinical trials. </w:t>
      </w:r>
    </w:p>
    <w:p>
      <w:pPr>
        <w:pStyle w:val="TextBody"/>
        <w:bidi w:val="0"/>
        <w:spacing w:before="360" w:after="283"/>
        <w:jc w:val="both"/>
        <w:rPr>
          <w:rFonts w:ascii="Times New Roman" w:hAnsi="Times New Roman"/>
          <w:sz w:val="20"/>
        </w:rPr>
      </w:pPr>
      <w:r>
        <w:rPr>
          <w:rFonts w:ascii="Times New Roman" w:hAnsi="Times New Roman"/>
          <w:i/>
          <w:color w:val="000000"/>
          <w:sz w:val="20"/>
        </w:rPr>
        <w:t>Orphan Designation and Exclusivity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Regulation (EC) No 141/2000 and Regulation (EC) No. 847/2000 provide that a product can be designated as an orphan medicinal product by the European Commission if its sponsor can establish that: (1) the product is intended for the diagnosis, prevention or treatment of a life-threatening or chronically debilitating condition, (2) either (i) such condition affects no more than five in ten thousand persons in the EU when the application is made, or (ii) without the benefits derived from orphan status, it is unlikely that the marketing of the product in the EU would generate sufficient return to justify the necessary investment in its development and (3) there exists no satisfactory method of diagnosis, prevention or treatment of the condition in question that has been authorized in the EU or, if such method exists, the product would be of significant benefit to those affected by that condition.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 orphan designation provides a number of benefits, including fee reductions, regulatory assistance and the possibility to apply for a centralized EU marketing authorization. Marketing authorization for an orphan medicinal product leads to a ten-year period of market exclusivity being granted. During this market exclusivity period, the European Commission or the competent authorities of the EU Member States may only grant a marketing authorization to a “similar medicinal product” to the authorized orphan product for the same therapeutic indication if: (i) a second applicant can establish that its product, although similar to the authorized orphan product, is safer, more effective or otherwise clinically superior; (ii) the marketing authorization holder for the authorized orphan product consents to a second medicinal product application; or (iii) the marketing authorization holder for the authorized orphan product cannot supply enough orphan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it is established that the product no longer meets the criteria for orphan designation because, for example, the product is sufficiently profitable not to justify market exclusivity. Orphan designation must be requested before submitting an application for marketing authorization. Orphan designation does not convey any advantage in, or shorten the duration of, the regulatory review and approval process. </w:t>
      </w:r>
    </w:p>
    <w:p>
      <w:pPr>
        <w:pStyle w:val="TextBody"/>
        <w:bidi w:val="0"/>
        <w:spacing w:before="360" w:after="283"/>
        <w:jc w:val="both"/>
        <w:rPr>
          <w:rFonts w:ascii="Times New Roman" w:hAnsi="Times New Roman"/>
          <w:sz w:val="20"/>
        </w:rPr>
      </w:pPr>
      <w:r>
        <w:rPr>
          <w:rFonts w:ascii="Times New Roman" w:hAnsi="Times New Roman"/>
          <w:i/>
          <w:color w:val="000000"/>
          <w:sz w:val="20"/>
        </w:rPr>
        <w:t>Periods of Authorization and Renewals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marketing authorization has an initial validity of five years. The marketing authorization may be renewed after five years on the basis of a re-evaluation of the risk-benefit balance by the EMA (for a centrally authorized product) or by the competent authority of the relevant EU Member State (for a nationally authorized product). To this end, the marketing authorization holder must provide the EMA or the competent authority with a consolidated version of the file in respect of quality, safety and efficacy, including all variations introduced since the marketing authorization was granted, at least nine months before the marketing authorization ceases to be valid. Once renewed, the marketing authorization is valid for an unlimited period, unless the European Commission or the competent authorities of the relevant Member States decide, on justified grounds relating to pharmacovigilance, to proceed with one further five year renewal period. Any authorization which is not followed by the actual placing of the medicinal product on the EU market (for centrally-authorized products) or on the market of the authorizing EU Member State (for nationally-authorized products) within three years after authorization is granted, ceases to be valid (the so-called sunset clause). </w:t>
      </w:r>
    </w:p>
    <w:p>
      <w:pPr>
        <w:pStyle w:val="TextBody"/>
        <w:bidi w:val="0"/>
        <w:spacing w:before="360" w:after="283"/>
        <w:jc w:val="both"/>
        <w:rPr>
          <w:rFonts w:ascii="Times New Roman" w:hAnsi="Times New Roman"/>
          <w:sz w:val="20"/>
        </w:rPr>
      </w:pPr>
      <w:r>
        <w:rPr>
          <w:rFonts w:ascii="Times New Roman" w:hAnsi="Times New Roman"/>
          <w:i/>
          <w:color w:val="000000"/>
          <w:sz w:val="20"/>
        </w:rPr>
        <w:t>Regulatory Requirements after a Marketing Authorization has been Obtained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Where an authorization for a medicinal product in the EU is obtained, the holder of the marketing authorization is required to comply with a range of requirements applicable to the manufacturing, marketing, promotion and sale of medicinal products. These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the EU’s stringent pharmacovigilance or safety reporting rules must be ensured. These rules can impose post-authorization studies and additional monitoring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manufacturing of authorized medicinal products, for which a separate manufacturer’s license is mandatory, must also be conducted in strict compliance with the applicable EU laws, regulations and guidance, including Directive 2001/83/EC, Directive (EU) 2017/1572, Regulation (EC) No 726/2004 and the European Commission Guidelines for Good Manufacturing Practice. These requirements include compliance with EU cGMP standards when manufacturing medicinal products and APIs, including the manufacture of APIs outside of the EU with the intention to import the APIs into the EU.</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marketing and promotion of authorized products, including industry-sponsored continuing medical education and advertising directed toward the prescribers of products and/or the general public, are strictly regulated in the EU notably under Directive 2001/83/EC, as amended, and EU Member State laws and industry codes of conduct.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aforementioned EU rules are generally applicable in the EEA. </w:t>
      </w:r>
    </w:p>
    <w:p>
      <w:pPr>
        <w:pStyle w:val="TextBody"/>
        <w:bidi w:val="0"/>
        <w:spacing w:before="360" w:after="283"/>
        <w:jc w:val="both"/>
        <w:rPr>
          <w:rFonts w:ascii="Times New Roman" w:hAnsi="Times New Roman"/>
          <w:sz w:val="20"/>
        </w:rPr>
      </w:pPr>
      <w:r>
        <w:rPr>
          <w:rFonts w:ascii="Times New Roman" w:hAnsi="Times New Roman"/>
          <w:i/>
          <w:color w:val="000000"/>
          <w:sz w:val="20"/>
        </w:rPr>
        <w:t>Reform of the Regulatory Framework in the European Union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European Commission introduced legislative proposals in April 2023 that, if implemented, will replace the current regulatory framework in the EU for all medicines (including those for rare diseases and for children). The European Commission has provided the legislative proposals to the European Parliament and the European Council for their review and approval. On December 11, 2025, the European Parliament and the European Council reached agreement on the EU Pharma Law Package, also known as the General Pharmaceutical Legislation. While he adopted acts of the new pharmaceutical legislation are expected to enter into force in 2026, the following two years, until 2028, will serve as a transition period. In this time interval, EU member states are expected to update their national laws to align with the new rules, after which the new legislation becomes applicable. </w:t>
      </w:r>
    </w:p>
    <w:p>
      <w:pPr>
        <w:pStyle w:val="TextBody"/>
        <w:bidi w:val="0"/>
        <w:spacing w:before="360" w:after="283"/>
        <w:jc w:val="both"/>
        <w:rPr>
          <w:rFonts w:ascii="Times New Roman" w:hAnsi="Times New Roman"/>
          <w:sz w:val="20"/>
        </w:rPr>
      </w:pPr>
      <w:r>
        <w:rPr>
          <w:rFonts w:ascii="Times New Roman" w:hAnsi="Times New Roman"/>
          <w:i/>
          <w:color w:val="000000"/>
          <w:sz w:val="20"/>
        </w:rPr>
        <w:t>Brexit and the Regulatory Framework in the United Kingdom</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UK ceased being a Member State of the EU on January 31, 2020. Following the end of the Brexit transition period on January 1, 2021, the UK is not generally subject to EU laws in respect of medicines. The EU laws that have been transposed into UK law through secondary legislation remain applicable in the UK, however, new legislation such as the EU Clinical Trials Regulation is not applicable in the UK. As of January 1, 2021, the Medicines and Healthcare products Regulatory Agency (“MHRA”) became the UK's standalone medicines and medical devices regulator. On January 1, 2025, a new arrangement called the “Windsor Framework” came into effect and reintegrated Northern Ireland under the regulatory authority of the MHRA with respect to medicinal products. The Windsor Framework removes EU licensing processes and EU labeling and serialization requirements relation to Northern Ireland and introduces a UK-wide licensing process for medicines. A single UK-wide marketing authorization may be granted by the MHRA for medicinal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products intended to be sold in the UK, enabling products to be sold in a single pack and under a single authorization throughout the UK. </w:t>
      </w:r>
    </w:p>
    <w:p>
      <w:pPr>
        <w:pStyle w:val="TextBody"/>
        <w:bidi w:val="0"/>
        <w:spacing w:before="360" w:after="283"/>
        <w:jc w:val="both"/>
        <w:rPr>
          <w:rFonts w:ascii="Times New Roman" w:hAnsi="Times New Roman"/>
          <w:sz w:val="20"/>
        </w:rPr>
      </w:pPr>
      <w:r>
        <w:rPr>
          <w:rFonts w:ascii="Times New Roman" w:hAnsi="Times New Roman"/>
          <w:b/>
          <w:i/>
          <w:color w:val="000000"/>
          <w:sz w:val="20"/>
        </w:rPr>
        <w:t>Review and Approval of Medicinal Products in Australia</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Therapeutic Goods Administration (“TGA”) and the National Health and Medical Research Council (“NHMRC”) set the GCP requirements for clinical research in Australia.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Compliance with the regulations, standards and codes set by the TGA and NHMRC is mandatory. Under the </w:t>
      </w:r>
      <w:r>
        <w:rPr>
          <w:rFonts w:ascii="Times New Roman" w:hAnsi="Times New Roman"/>
          <w:i/>
          <w:color w:val="000000"/>
          <w:sz w:val="20"/>
        </w:rPr>
        <w:t>Therapeutic Goods Act 1989</w:t>
      </w:r>
      <w:r>
        <w:rPr>
          <w:rFonts w:ascii="Times New Roman" w:hAnsi="Times New Roman"/>
          <w:color w:val="000000"/>
          <w:sz w:val="20"/>
        </w:rPr>
        <w:t xml:space="preserve"> (Cth) and the </w:t>
      </w:r>
      <w:r>
        <w:rPr>
          <w:rFonts w:ascii="Times New Roman" w:hAnsi="Times New Roman"/>
          <w:i/>
          <w:color w:val="000000"/>
          <w:sz w:val="20"/>
        </w:rPr>
        <w:t>Therapeutic Goods Regulations 1990</w:t>
      </w:r>
      <w:r>
        <w:rPr>
          <w:rFonts w:ascii="Times New Roman" w:hAnsi="Times New Roman"/>
          <w:color w:val="000000"/>
          <w:sz w:val="20"/>
        </w:rPr>
        <w:t xml:space="preserve"> (Cth), it is a condition (amongst other conditions) of all clinical trials involving investigational medicinal products to comply with the National Statement on Ethical Conduct in Research Involving Humans, published by the NHMRC (the National Statement), and the Guideline for Good Clinical Practice published by the International Council for Harmonization of Technical Requirements for Registration of Pharmaceuticals for Human Use (“ICH Guidelines”). The ICH Guidelines have been adopted in Australia, and must be complied with across all fields of clinical research involving therapeutic goods, including those related to pharmaceutical quality, nonclinical and clinical data requirements and trial designs. The basic requirements for preclinical data to support a first-in-human trial under ICH Guidelines are applicable in Australia. Requirements related to adverse event reporting in Australia are generally similar to those required in other major jurisdictions (and there is alignment with the European Union’s Clinical Trial Regulations: Regulation EU No 536/2014), although reporting timeframes may differ to other jurisdictions.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Clinical trials conducted using “unapproved therapeutic goods” in Australia, being those which have not yet been evaluated by the TGA for quality, safety and efficacy (and including unapproved indications of therapeutic goods which have otherwise been approved for use in Australia) must occur pursuant to either the Clinical Trial Notification Scheme (“CTN Scheme”) or the Clinical Trial Approval Scheme (“CTA Scheme”). In each case, the trial is supervised by a Human Research Ethics Committee (“HREC”), an independent review committee constituted in accordance with the National Statement that ensures the protection of rights, safety and well-being of human subjects involved in a clinical trial. A HREC reviews, approves and provides continuing oversight of trial protocols (including any amendments), methods and materials intended to be used in obtaining and documenting informed consent of the clinical trial subjects.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CTN Scheme broadly involves: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the investigator or sponsor of the Australian clinical trial submitting a ‘Notification of Intent to Conduct a Clinical Trial’ form (“CTN Form”) to the TGA and payment of the relevant fee (for unapproved medicines, this was AUD 429 at 1 July 2024: </w:t>
      </w:r>
      <w:r>
        <w:rPr>
          <w:rFonts w:ascii="Times New Roman" w:hAnsi="Times New Roman"/>
          <w:i/>
          <w:color w:val="000000"/>
          <w:sz w:val="20"/>
        </w:rPr>
        <w:t>Therapeutic Goods Regulations</w:t>
      </w:r>
      <w:r>
        <w:rPr>
          <w:color w:val="000000"/>
        </w:rPr>
        <w:t xml:space="preserve"> </w:t>
      </w:r>
      <w:r>
        <w:rPr>
          <w:rFonts w:ascii="Times New Roman" w:hAnsi="Times New Roman"/>
          <w:color w:val="000000"/>
          <w:sz w:val="20"/>
        </w:rPr>
        <w:t>1990, clause 3, Schedule 9, item 14(a));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TGA may request further specific information relating to the ‘unapproved therapeutic goods’ that are the subject of the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submission to a HREC, of all material relating to the proposed clinical trial, including the trial protocol;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HREC reviews the scientific validity of the trial design, the balance of risk versus harm of the therapeutic good, the ethical acceptability of the trial process, and approves the trial protocol. The HREC is also responsible for monitoring the conduct of the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institution or organization at which the trial will be conducted, referred to as the “Approving Authority,” giving final approval for the conduct of the trial at the site, in terms no less restrictive to those advised by the HREC;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ensuring that the CTN form is signed by the sponsor, the principal investigator, the chairman of the HREC and a person responsible from the Approving Authority. The TGA does not review any data relating to the clinical trial, however CTN trials cannot commence until the trial has been notified to the TGA. It is the responsibility of the sponsor to ensure that all relevant approvals are in place before supplying the ‘unapproved’ therapeutic goods in the clinical trial in Australia.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CTA Scheme: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a sponsor submits an application to conduct a clinical trial to the TGA for evaluation and comment, which includes payment of the relevant fees (for unapproved medicines, this was AUD 2,046 for a 30-day evaluation and AUD 25,426 for a 50-day evaluation, as at 1 July 2024: </w:t>
      </w:r>
      <w:r>
        <w:rPr>
          <w:rFonts w:ascii="Times New Roman" w:hAnsi="Times New Roman"/>
          <w:i/>
          <w:color w:val="000000"/>
          <w:sz w:val="20"/>
        </w:rPr>
        <w:t xml:space="preserve">Therapeutic Goods Regulations </w:t>
      </w:r>
      <w:r>
        <w:rPr>
          <w:rFonts w:ascii="Times New Roman" w:hAnsi="Times New Roman"/>
          <w:color w:val="000000"/>
          <w:sz w:val="20"/>
        </w:rPr>
        <w:t>1990, clause 3, Schedule 9, items 1(a) and (b) respectively). The TGA encourages all sponsors to request a pre-submission meeting with the TGA in order to clarify any questions about existing studies or the proposed data package for the CTA application, and obtain specific advice from the TGA relating to the CTA application process, including the best ways to submit the application and dossier;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TGA will undertake a preliminary assessment to ensure that there is sufficient data to begin evaluation. If critical data is missing, the TGA may request further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sponsor must forward any comments made by the TGA Delegate to the HREC(s) at the sites where the trial will be conducted;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HREC is responsible for considering the scientific and ethical issues of the proposed trial protocol.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sponsor cannot commence a trial under the CTA Scheme until written advice has been received from the TGA regarding the application and approval for the conduct of the trial has been obtained from an ethics committee and the institution at which the trial will be conducted.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Approval for inclusion in the Australian Register of Therapeutic Goods (“ARTG”), is required before a therapeutic good (including pharmaceutical product) may be marketed (or supplied, imported, exported or manufactured) in Australia. Exceptions apply to therapeutic goods/pharmaceutical products that are supplied, imported, and exported to and from Australia for the purposes of a clinical trial, on the basis that certain conditions are met (e.g., the trial is conducted in accordance with the CTN or CTA scheme).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Once a sponsor decides to register a therapeutic good/pharmaceutical product in Australia, in order to obtain registration of the product on the ARTG, it is required that (amongst others):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sponsor submits appropriate documentation, including the outcomes of clinical trials and studies, to allow the TGA to assess the quality, safety and efficacy of the therapeutic product/pharmaceutical product;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sponsor submits evidence which demonstrates that the manufacture of the therapeutic product/pharmaceutical product complies with the applicable GMP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TGA has the ultimate discretion to decide whether to include the therapeutic product/pharmaceutical product in the ARTG. </w:t>
      </w:r>
    </w:p>
    <w:p>
      <w:pPr>
        <w:pStyle w:val="TextBody"/>
        <w:bidi w:val="0"/>
        <w:jc w:val="both"/>
        <w:rPr>
          <w:rFonts w:ascii="Times New Roman" w:hAnsi="Times New Roman"/>
          <w:sz w:val="20"/>
        </w:rPr>
      </w:pPr>
      <w:r>
        <w:rPr>
          <w:rFonts w:ascii="Times New Roman" w:hAnsi="Times New Roman"/>
          <w:b/>
          <w:i/>
          <w:color w:val="000000"/>
          <w:sz w:val="20"/>
        </w:rPr>
        <w:t>Other Healthcare Laws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operations and current and future arrangements with investigators, healthcare professionals, consultants, third-party payors, patient organizations and customers may expose us to broadly applicable fraud and abuse and other healthcare laws and regulations. The laws that may affect our ability to operate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federal civil and criminal false claims laws, including the False Claims Act (“FCA”), which can be enforced through civil “qui tam” or “whistleblower” actions, and civil monetary penalty laws, which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In addition, the government may 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Health Insurance Portability and Accountability Act of 1996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these statutes without actual knowledge of the statutes or specific intent to violate them in order to have committed a violation;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of 2009 (“HITECH”), imposes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Physician Payments Sunshine Act, created under the Patient Protection and Affordable Care Act, as amended by the Health Care and Education Reconciliation Act (collectively, the “ACA”) and its implementing regulations, which requires manufacturers of drugs, devices, biologicals and medical supplies for which payment is available under Medicare, Medicaid or the Children’s Health Insurance Program (with certain exceptions) to report annually to the Department of Health and Human Services (“HHS”) information related to payments or other transfers of value made to physicians (defined to include doctors, dentists, optometrists, podiatrists and chiropractors), certain other licensed healthcare professionals (i.e., physician assistants, nurse practitioners, clinical nurse specialists, anesthesiologist assistants, certified registered nurse anesthetists, and certified nurse midwives), and teaching hospitals, as well as ownership and investment interests held by physicians and their immediate family members;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federal government price reporting laws, which require us to calculate and report complex pricing metrics in an accurate and timely manner to government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federal consumer protection and unfair competition laws, which broadly regulate marketplace activities and activities that potentially harm consumers;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local laws requiring the registration of pharmaceutical sales representatives.</w:t>
      </w:r>
    </w:p>
    <w:p>
      <w:pPr>
        <w:pStyle w:val="TextBody"/>
        <w:bidi w:val="0"/>
        <w:jc w:val="both"/>
        <w:rPr>
          <w:rFonts w:ascii="Times New Roman" w:hAnsi="Times New Roman"/>
          <w:color w:val="000000"/>
          <w:sz w:val="20"/>
        </w:rPr>
      </w:pPr>
      <w:r>
        <w:rPr>
          <w:rFonts w:ascii="Times New Roman" w:hAnsi="Times New Roman"/>
          <w:color w:val="000000"/>
          <w:sz w:val="20"/>
        </w:rPr>
        <w:t xml:space="preserve">If our operations are found to be in violation of any of such laws or any other governmental regulations that apply, we may be subject to significant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 </w:t>
      </w:r>
    </w:p>
    <w:p>
      <w:pPr>
        <w:pStyle w:val="TextBody"/>
        <w:bidi w:val="0"/>
        <w:spacing w:before="360" w:after="283"/>
        <w:jc w:val="both"/>
        <w:rPr>
          <w:rFonts w:ascii="Times New Roman" w:hAnsi="Times New Roman"/>
          <w:sz w:val="20"/>
        </w:rPr>
      </w:pPr>
      <w:r>
        <w:rPr>
          <w:rFonts w:ascii="Times New Roman" w:hAnsi="Times New Roman"/>
          <w:b/>
          <w:i/>
          <w:color w:val="000000"/>
          <w:sz w:val="20"/>
        </w:rPr>
        <w:t>Coverage and Reimbursement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Factors payors consider in determining coverage and reimbursement are based on whether the product is: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covered benefit under its health plan;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safe, effective and medically necessary;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appropriate for the specific patient;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cost-effective;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neither experimental nor investigational.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United States,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rate that the payor will pay for the product once coverage is approved. Third-party payors are increasingly challenging the prices charged, examining the medical necessity, and reviewing the cost- effectiveness of medical products and services and imposing controls to manage costs. Third-party payors may limit coverage to specific products on an approved list, also known as a formulary, which might not include all of the approved products for a particular indication.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 A decision by a third-party payor not to cover a product could reduce physician utilization once the product is approved and have a material adverse effect on sales, results of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containment of healthcare costs has become a priority of federal, state and foreign governments, and the prices of products have been a focus in this effort. There have been a number of federal and state proposals during the last few years regarding the pricing of pharmaceutical products, limiting coverage and the amount of reimbursement for drugs and other medical products, government control and other changes to the healthcare system in the United States. Governments have shown significant interest in implementing cost-containment programs, including price controls, restrictions on reimbursement and requirements for substitution of generic products.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Even if favorable coverage and reimbursement status is attained for one or more products for which we receive regulatory approval, less favorable coverage policies and reimbursement rates may be implemented in the future.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many pharmaceutical manufacturers must calculate and report certain price reporting metrics to the government, such as average sales price (“ASP”) and best price. Penalties may apply in some cases when such metrics are not submitted accurately and timely. Further, these prices for drugs may be reduced by mandatory discounts or rebates required by government healthcare programs. Adoption of price controls and cost-containment measures, and adoption of more restrictive policies in jurisdictions with existing controls and measures, could further limit a company’s revenue generated from the sale of any approved products. Even if we do receive a favorable coverage determination for approved products by third-party payors, coverage policies and third-party payor reimbursement rates may change at any time.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Moreover, payment methodologies may be subject to changes in healthcare legislation and regulatory initiatives. For example, the U.S. Centers for Medicare &amp; Medicaid Services (“CMS”) may develop new payment and delivery models, such as bundled payment models. In addition, recently there has been heightened governmental scrutiny over the manner in which manufacturers set prices for their commercial products, which has resulted in several U.S.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Member States have the option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healthcare expenditures, especially in light of the severe fiscal and debt crises experienced by many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countries in the EU.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products, if approved in those countries. </w:t>
      </w:r>
    </w:p>
    <w:p>
      <w:pPr>
        <w:pStyle w:val="TextBody"/>
        <w:bidi w:val="0"/>
        <w:spacing w:before="360" w:after="283"/>
        <w:jc w:val="both"/>
        <w:rPr>
          <w:rFonts w:ascii="Times New Roman" w:hAnsi="Times New Roman"/>
          <w:sz w:val="20"/>
        </w:rPr>
      </w:pPr>
      <w:r>
        <w:rPr>
          <w:rFonts w:ascii="Times New Roman" w:hAnsi="Times New Roman"/>
          <w:b/>
          <w:i/>
          <w:color w:val="000000"/>
          <w:sz w:val="20"/>
        </w:rPr>
        <w:t>Current and Future U.S. Healthcare Reform</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United States, there have been a number of legislative and regulatory changes to the healthcare system that could impact our ability to sell our products profitably. For example, in March 2010, the ACA was enacted, which substantially changed the way healthcare is financed by both governmental and private insurers, and significantly affected the pharmaceutical industry. The ACA contained a number of provisions, including those governing enrollment in federal healthcare programs, reimbursement adjustments and changes to fraud and abuse laws. For example, the ACA, among other things: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increased the minimum level of Medicaid rebates payable by manufacturers of brand name drugs from 15.1% to 23.1% of the average manufacturer price;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required collection of rebates for drugs paid by Medicaid managed care organizations;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required manufacturers to participate in a coverage gap discount program, under which they were required to offer 50 percent point-of-sale discount off negotiated prices of applicable brand drugs to eligible beneficiaries during their coverage gap period, as a condition for the manufacturer’s outpatient drugs to be covered under Medicare Part D (later increased to 70% and then later replaced altogether under the Inflation Reduction Act with the Medicare Part D manufacturer discount program);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imposed a non-deductible annual fee on pharmaceutical manufacturers or importers who sell “branded prescription drugs” to specified federal government programs.</w:t>
      </w:r>
    </w:p>
    <w:p>
      <w:pPr>
        <w:pStyle w:val="TextBody"/>
        <w:bidi w:val="0"/>
        <w:jc w:val="both"/>
        <w:rPr>
          <w:rFonts w:ascii="Times New Roman" w:hAnsi="Times New Roman"/>
          <w:color w:val="000000"/>
          <w:sz w:val="20"/>
        </w:rPr>
      </w:pPr>
      <w:r>
        <w:rPr>
          <w:rFonts w:ascii="Times New Roman" w:hAnsi="Times New Roman"/>
          <w:color w:val="000000"/>
          <w:sz w:val="20"/>
        </w:rPr>
        <w:t xml:space="preserve">Other legislative and regulatory changes have been proposed and adopted in the United States since the ACA was enacted: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 Budget Control Act of 2011, among other things, included aggregate reductions of Medicare payments to providers of 2% per fiscal year, and, due to subsequent legislative amendments to the statute, will remain in effect until 2032.</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 American Taxpayer Relief Act of 2012, among other things, further reduced Medicare payments to several types of providers.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American Rescue Plan Act of 2021 eliminates the statutory Medicaid drug rebate cap, previously set at 100% of a drug’s average manufacturer price, for single source and innovator multiple source drugs, effective January 1, 2024.</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Inflation Reduction Act of 2022 (“IRA”) included several other provisions that may impact our business to varying degrees, including provisions that create a $2,000 out-of-pocket cap for Medicare Part D beneficiaries and impose new manufacturer financial liability on all drugs in Medicare Part D. Further, the IRA among other things, (i) 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HHS has completed the first and second rounds of price negotiations and has announced the first and second sets of “maximum fair prices,” covering a total of 25 drugs. The Medicare drug price negotiation program is currently subject to legal challenges. It is unclear how the IRA will be implemented but is likely to have a significant impact on the pharmaceutical industry.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One Big Beautiful Bill Act of 2025 (“OBBBA”) imposed significant reductions in Medicaid funding, additional work requirements for Medicaid recipients, and more frequent reenrollment requirements, which are expected to place substantial pressure on state Medicaid budgets, reduce enrollment, and limit covered services, which could decrease utilization of, and reimbursement for, our products,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costs of prescription pharmaceuticals have also been the subject of considerable discussion in the United States. To date, there have been several recent U.S. congressional inquiries, as well as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The Trump Administration has issued executive orders and supported proposed regulatory initiatives in 2025 that could have a significant impact on the prices that we, or any collaborators, may receive for any approved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12, 2025, President Trump signed an executive order directing the Secretary of HHS to set and communicate most-favored-nation (“MFN”) price targets to manufacturers and propose a rulemaking plan to impose MFN pricing if “significant progress” is not made, and also directing the federal government to support regulatory paths to allow direct-to-patient sales for companies that meet these targets. The executive order further states that the Administration will take additional action (for example, examining whether marketing approvals should be modified or rescinded or considering individual drug importation waiver authorities) should manufacturers fail to offer American consumers the MFN lowest price. In July 2025, President Trump sent letters to certain pharmaceutical companies demanding that these companies extend MFN pricing to Medicaid and newly launched drugs as well as move to direct-to-consumer models priced at MFN pricing, and soliciting binding commitments by September 29, 2025. Since this time, multiple drug manufacturers have announced plans to, for certain of their drugs, lower prices to reflect similar pricing around the world, and to sell these reduced-price drugs on a direct-to-consumer purchasing platform developed by the federal government; however, it is not known what results will occur to the extent the recipients of these letters do not reduce their U.S. prices.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December 19, 2025, CMS released two proposed rules that would incorporate MFN pricing principles into federal reimbursement for prescription drugs. The first proposal, the Global Benchmark for Efficient Drug Pricing Model (“GLOBE”) for Medicare Part B, would require manufacturers of specified single source drugs and sole source biologics to pay incremental rebates based on international benchmark prices, with participation triggered for products meeting CMS’s spending and eligibility criteria. The second proposal, the Guarding U.S. Medicare Against Rising Drug Costs (“GUARD”) model for Medicare Part D, would similarly mandate manufacturer rebates for qualifying sole source drugs where the Medicare net price exceeds an MFN benchmark derived from international reference pricing methodologies. As proposed, GLOBE would begin a five year performance period on October 1, 2026 and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(“GENEROUS”) Model, a voluntary MFN framework for manufacturers participating in the Medicaid Drug Rebate Program. Although it is voluntary, the GENEROUS Model could also impact the drug pricing landscape for manufacturers.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effect of these healthcare reform initiatives on our business and the pharmaceutical industry in general is not yet known, but could be substantial and materially adverse to our ability to successfully commercialize our product candidates at profitable price points.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Individual states have also been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We expect that additional state and federal healthcare reform measures will be adopted in the future, any of which could limit the amounts that federal and state governments will pay for healthcare products and services. </w:t>
      </w:r>
    </w:p>
    <w:p>
      <w:pPr>
        <w:pStyle w:val="TextBody"/>
        <w:bidi w:val="0"/>
        <w:spacing w:before="360" w:after="283"/>
        <w:jc w:val="both"/>
        <w:rPr>
          <w:rFonts w:ascii="Times New Roman" w:hAnsi="Times New Roman"/>
          <w:sz w:val="20"/>
        </w:rPr>
      </w:pPr>
      <w:r>
        <w:rPr>
          <w:rFonts w:ascii="Times New Roman" w:hAnsi="Times New Roman"/>
          <w:b/>
          <w:i/>
          <w:color w:val="000000"/>
          <w:sz w:val="20"/>
        </w:rPr>
        <w:t>Data Protection, Privacy, and Security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ordinary course of business, we collect, transmit, store, use, disclose, transfer, maintain and otherwise process sensitive information, including personal data. Accordingly, we are, or may be become, subject to numerous data protection, privacy, and security obligations, including global, federal, state, and local laws, rules, regulations, guidance, industry standards, external and internal privacy and security policies, contractual requirements and other obligations related to data protection, privacy, and security.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data protection, privacy, and security obligations are evolving and may impose potentially conflicting obligations. Such obligations may include, without limitation, federal health information privacy laws, state information security and data breach notification laws, state health information privacy laws, and federal and state consumer protection laws (e.g., the Federal Trade Commission Act). In addition, in the past few years, numerous U.S. states have passed, or are in the process of enacting, comprehensive privacy laws, rules, and regulations that impose certain obligations on covered businesses, and similar laws are being considered in several other states, as well as at the federal level. While these laws exempt some data processed in the context of clinical trials, these developments may further complicate compliance efforts, and are examples of the increasingly stringent and evolving regulatory frameworks related to personal data processing, as more fully discussed in the section titled “Risk Factors” included elsewhere in this Annual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Additionally, to the extent we collect personal data from individuals outside of the United States, through clinical trials or otherwise, we are, or may become, subject to foreign data protection, privacy, and security laws, such as the European Union’s General Data Protection Regulation (“EU GDPR”) and the EU GDPR as incorporated into laws of the U.K. (“UK GDPR”). Such foreign data protection, privacy, and security laws impose significant and complex compliance obligations on entities that are subject to those laws, as more fully discussed in the section titled “Risk Factors” included elsewhere in this Annual Report.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Employees and Human Capital Resources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we had 130 full-time employees, 67 of whom have M.D. or Ph.D. degrees. Within our workforce, 98 employees are engaged in research and development and 32 are engaged in business development, finance, legal, and general management and administration. None of our employees are represented by labor unions or covered by collective bargaining agreements. We consider our relationship with our employees to be good.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human capital resources objectives include, as applicable, identifying, recruiting, retaining, incentivizing and integrating our existing and new employees, advisors and consultants. The principal purposes of our equity incentive plans are to attract, retain and reward personnel through the granting of equity-based compensation awards in order to increase stockholder value and the success of our company by motivating such individuals to perform to the best of their abilities and achieve our objectives.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were incorporated under the laws of the State of Delaware in December 2019 under the name GPCR NewCo, Inc. and changed our name to Septerna, Inc. in June 2021. Our principal executive offices are located at 250 East Grand Avenue, South San Francisco, California 94080, and our telephone number is (650) 338-3533.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Our website address is </w:t>
      </w:r>
      <w:r>
        <w:rPr>
          <w:rFonts w:ascii="Times New Roman" w:hAnsi="Times New Roman"/>
          <w:i/>
          <w:color w:val="000000"/>
          <w:sz w:val="20"/>
        </w:rPr>
        <w:t>www.septerna.com</w:t>
      </w:r>
      <w:r>
        <w:rPr>
          <w:rFonts w:ascii="Times New Roman" w:hAnsi="Times New Roman"/>
          <w:color w:val="000000"/>
          <w:sz w:val="20"/>
        </w:rPr>
        <w:t xml:space="preserve">. Information that is contained in and can be accessed through our website is not incorporated into, and does not form a part of, this Annual Report. We have included our website address in this Annual Report solely as an inactive textual reference.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Annual Reports on Form 10-K, Quarterly Reports on Form 10-Q, Current Reports on Form 8-K, including exhibits, proxy and information statements and amendments to those reports filed or furnished pursuant to Sections 13(a), 14, and 15(d) of the Exchange Act, are available through our website free of charge as soon as reasonably practicable after we electronically file such material with, or furnish it to, the SEC. Our filings with the SEC may also be accessed through the SEC’s Interactive Data Electronic Applications system at www.sec.gov. In addition, we regularly use our website to post information regarding our business, product development programs and governance, and we encourage investors to use our website, particularly the information in the section entitled “Investors &amp; Media,” as a source of information about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pStyle w:val="TextBody"/>
        <w:bidi w:val="0"/>
        <w:spacing w:before="360" w:after="283"/>
        <w:jc w:val="left"/>
        <w:rPr>
          <w:rFonts w:ascii="Times New Roman" w:hAnsi="Times New Roman"/>
          <w:b/>
          <w:color w:val="000000"/>
          <w:sz w:val="20"/>
        </w:rPr>
      </w:pPr>
      <w:bookmarkStart w:id="7" w:name="item_1a_risk_factors"/>
      <w:bookmarkEnd w:id="7"/>
      <w:r>
        <w:rPr>
          <w:rFonts w:ascii="Times New Roman" w:hAnsi="Times New Roman"/>
          <w:b/>
          <w:color w:val="000000"/>
          <w:sz w:val="20"/>
        </w:rPr>
        <w:t>Item 1A. Risk Factors.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Investing in our common stock involves a high degree of risk. You should carefully consider the risks and uncertainties described below together with all of the other information contained in this Annual Report, including our financial statements and the related notes appearing at the end of this Annual Report and the section titled “Management’s Discussion and Analysis of Financial Condition and Results of Operations,” before deciding to invest in our common stock. If any of the events or developments described below were to occur, our business, prospects, operating results and financial condition could suffer materially, the trading price of our common stock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 This Annual Report also contains forward-looking statements that involve risks and uncertainties. Our actual results could differ materially from those anticipated in the forward-looking statements as a result of a number of factors, including the risks described below. See the section titled “Special Note Regarding Forward-Looking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Limited Operating History, Financial Position and Capital Requirements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have a limited operating history and have incurred significant operating losses since our inception and expect to incur significant losses for the foreseeable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Pharmaceutical product development is a highly speculative undertaking and involves a substantial degree of risk. We are a clinical-stage biotechnology company with a limited operating history, which may make it difficult to evaluate the success of our business to date and assess our future viability. Since our inception in December 2019, we have focused primarily on organizing and staffing our company, business planning, establishing our intellectual property portfolio, raising capital, developing our proprietary and structure-based drug discovery platform, identifying and developing our product candidates, conducting research and preclinical studies, including IND-enabling studies, initiating and conducting clinical trials, and providing general and administrative support for these operations. Our approach to the discovery and development of product candidates based on our Native Complex Platform® is unproven, and we do not know whether we will be able to develop any product candidates that succeed in clinical development or commercially. Other than SEP-631, all of our current product candidates and development programs are in preclinical development or in the drug discovery stages. Accordingly, we have not yet successfully completed any advanced clinical trials, demonstrated an ability to successfully obtain regulatory approvals, manufactured commercial-scale product, or arranged for a third party to do so on our behalf, or conducted sales and marketing activities necessary for successful product commercialization. Consequently, any predictions made about our future success or viability may not be as accurate as they could be if we had a history of successfully developing and commercializing pharmaceutical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no products approved for commercial sale and have not generated any revenue from product sales to date, and we continue to incur significant research and development and other expenses related to our preclinical and clinical development and ongoing operations. As a result, we are not profitable and have incurred significant losses since our inception, with the exception of the year ended December 31, 2023, and negative cash flows from operating activities and capital expenditures and expect to continue to incur significant and increasing operating losses for at least the next several years. If our product candidates are not successfully developed and approved, we may never generate any significant revenue. For the year ended December 31, 2025, our net loss was $48.9 million. As of December 31, 2025, we had an accumulated deficit of $167.3 million. Substantially all of our losses have resulted from expenses incurred in connection with our research and development programs and from general and administrative costs associated with our operations. All of our product candidates will require substantial additional development time and resources before we would be able to apply for or receive marketing approvals and begin generating revenue from product sales. We expect to continue to incur significant losses for the foreseeable future, and we expect that our expenses will increase substantially as we continue our development of, seek marketing approval for and potentially commercialize any of our product candidates, recruit and maintain key personnel and seek to identify, assess, acquire, in-license or develop additional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we succeed in developing and obtaining marketing approval for one or more of our product candidates, we may never generate revenue that is significant enough to achieve profitability. If we do achieve profitability, we may not be able to sustain or increase profitability on a quarterly or annual basis and we will continue to incur substantial research and development and other expenditures to develop and market additional product candidates. Our failure to become and remain profitable could decrease the value of our common stock and impair our ability to raise capital, maintain our research and development efforts, expand our business or continue our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will require substantial additional funding in order to finance our operations. If we are unable to raise additional capital when needed on acceptable terms, or at all, we may be forced to delay, reduce, or terminate certain of our research and product development programs, future commercialization efforts or other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development of pharmaceutical product candidates, including conducting preclinical studies and clinical trials, is a very time-consuming, capital-intensive and uncertain process that takes years to complete. Our operations have consumed substantial amounts of cash since inception, and we expect our expenses to increase in connection with our ongoing activities, particularly as we identify, continue the research and development of, initiate and conduct clinical trials of, and seek regulatory approval for any product candidates we may identify. In addition, if we obtain regulatory approval for any product candidates we may identify, we expect to incur significant commercialization expenses related to product sales, marketing, manufacturing, and distribution to the extent that such sales, marketing, manufacturing, and distribution are not the responsibility of a collaborator. Because the outcome of any clinical trial or preclinical study is highly uncertain, we cannot reasonably estimate the actual amount of capital necessary to successfully complete the development and commercialization of our product candidates. Other unanticipated costs may also arise. Furthermore, we expect to incur additional costs associated with operating as a public company. Accordingly, we will need to obtain substantial additional funding in connection with our continuing operations. If we are unable to raise capital when needed or on acceptable terms, we would be forced to delay, reduce, or eliminate our research and product development programs, future commercialization efforts or other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2025, we had $548.7 million in cash, cash equivalents and marketable securities. We expect that our cash, cash equivalents, and marketable securities will enable us to fund our operating expenses and capital expenditure requirements at least into 2029. However, we have based this estimate on assumptions that may prove to be wrong, and our operating plan may change as a result of factors currently unknown to us, and we may need to seek funding sooner than planned. Our future capital requirements will depend on many factors,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progress of research and development, preclinical and clinical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scope and duration of clinical trials required for regulatory approval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timing, and outcome of regulatory review of any of our product candidates in any jurisdictions in which we or our current or any future collaborators may seek approval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manufacturing clinical and commercial supplies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future commercialization activities, including product manufacturing, marketing, sales and distribution, for any of our product candidates for which we receive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preparing, filing and prosecuting our patent applications, maintaining and enforcing our patents and other intellectual property rights and defending intellectual property-related claims;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manufacturing clinical and commercial supplies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future commercialization activities, including product manufacturing, marketing, sales and distribution, for any of our product candidates for which we receive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preparing, filing and prosecuting our patent applications, maintaining and enforcing our patents and other intellectual property rights and defending intellectual property-related claims;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and maintain collaboration and license agreements on favorable terms,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acquire or in-license other product candidates and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product liability or other lawsuits related to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implementation of various computerized informational systems and efforts to enhance operational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expenses incurred to attract, hire and retain skilled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 commercially viable pricing structure and obtain approval for coverage and adequate reimbursement from third-party and government payors;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acquire or invest in businesses, products, and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 of competing technological and market developments;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global economic uncertainty and geopolitical tensions, which may exacerbate the magnitude of the factors discussed above.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our expenses to continue to increase in connection with our ongoing activities, particularly as we identify, continue the research and development of, initiate preclinical studies and clinical trials of, and seek marketing approval for, product candidates, and we may never generate the necessary data or results required to obtain regulatory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your ownership interest will be diluted, and the terms of these securities may include liquidation or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preferences that adversely affect your rights as a common stockholder. Debt financing, if available, may involve agreements that include covenants limiting or restricting our ability to take specific actions, such as incurring additional debt, making capital expenditures, declaring dividends, and possibly other restrictions.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additional fundraising efforts may divert our management from their day-to-day activities, which may adversely affect our ability to develop and commercialize our product candidates. We have no committed sources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Without sufficient funding, our license agreements and any future collaboration agreements may also be terminated if we are unable to meet the payment or other obligations under such agreements.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Additionally, if we raise funds through additional collaborations, strategic alliances, or licensing arrangements with third parties, we may have to relinquish valuable rights to our technologies, future revenue streams, research programs, or product candidates we develop, or we may have to grant licenses on terms that may not be favorable to us and/or that may reduce the value of our common stock.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have never generated revenue from product sales and may never be profitable.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generate revenue from product sales and achieve profitability depends on our ability, alone or with collaborative partners, to successfully complete the development of, obtain the regulatory approvals necessary to commercialize and eventually commercialize, product candidates we may identify for development. We may not generate revenues from product sales for many years, if ever. Our ability to generate future revenues from product sales depends heavily on our or our collaborators’ ability to successfully: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identify product candidates and successfully complete research and development of any product candidates we may identify;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advance our product candidates through preclinical and clinical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and obtain regulatory approvals for any product candidates for which we successfully complete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launch and commercialize any product candidates for which we may obtain regulatory approval by establishing a sales force, marketing and distribution infrastructure, or alternatively, collaborating with a commercialization partner;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qualify for adequate coverage and reimbursement by government and third-party payors for any product candidates for which we may obtain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and maintain supply and manufacturing relationships with third parties that can provide adequate, in both amount and quality, products and services to support clinical development and the market demand for any product candidates for which we obtain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 maintain and enhance a sustainable, scalable, reproducible and transferable manufacturing process for the product candidates we may develop;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address competing technological and market developments;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negotiate favorable terms in any collaboration, licensing or other arrangements into which we may enter and performing our obligations in such collaborations;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receive market acceptance by physicians, patients, healthcare payors, and others in the medical community;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receive coverage and adequate reimbursement by healthcare payors;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 protect, enforce, defend and expand our portfolio of intellectual property and other proprietary rights, including patents, trade secrets and know-how;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defend against third-party intellectual property claims of infringement, misappropriation or other violation;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attract, hire and retain qualified personnel.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expenses could increase beyond expectations if we are required by the FDA, EMA, the competent authorities of individual EU Member States, or other comparable foreign regulatory authorities to perform preclinical studies or clinical trials in addition to those that we currently anticipate. Even if one or more of the product candidates we may develop are approved for commercial sale, we anticipate incurring significant costs associated with commercializing any approved product candidate. Additionally, such products may become subject to unfavorable pricing regulations, third-party reimbursement practices or healthcare reform initiatives. Even if we are able to generate revenues from the sale of any approved product candidates, we may not become profitable and may need to obtain additional funding to continue operations. Our failure to become and remain profitable may have an adverse effect on the value of our company and depress the market price of our common stock and could impair our ability to raise capital, expand our business, maintain our research and development efforts, diversify our product candidate pipeline, achieve our strategic objectives or continue our operations. A decline in the value of our company could also cause you to lose all or part of your investment.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Discovery, Development and Regulatory Approval of Product Candidates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early in our development efforts, and as a result it will be years before we commercialize a product candidate, if ever. If we are unable to identify and advance product candidates through preclinical studies and clinical trials, obtain marketing approval and ultimately commercialize them, or experience significant delays in doing so, our business will be materially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 of our business depends primarily upon our ability to identify, develop and commercialize product candidates. We are early in our development efforts and discontinued our first Phase 1 study of our prior lead candidate, SEP-786, in 2025. Other than SEP-631, for which we presented data from the Phase 1 clinical trial at the AAAAI annual meeting on March 1, 2026, our product candidates and development programs are in preclinical development or in the drug discovery stages. We have invested substantially all of our research efforts to date in developing our Native Complex Platform®, identifying potential product candidates and conducting preclinical and clinical studies. As an organization, we have limited experience in conducting and managing clinical trials necessary to obtain regulatory approvals, and we may be unable to do so for our product candidates. While we plan to continue to advance SEP-631 in clinical development, and we are also planning to advance multiple lead compounds towards selection of a next-generation oral small molecule PTH1R agonist development candidate, we have not successfully completed any advanced clinical trials to date. Additionally, we have a portfolio of targets and programs that are in earlier stages of discovery or preclinical development and may never proceed to advanced clinical-stage development. If we are able to advance these other targets and programs into advanced clinical development, we do not have experience managing multiple clinical trials simultaneously, working with global clinical trials, or working in multiple different disease indications. Our ability to achieve and sustain profitability depends on obtaining regulatory approvals for, and successfully commercializing our product candidates, either alone or with third parties, and we cannot guarantee you that we will ever obtain regulatory approval for any of our product candidates. Before obtaining regulatory approval for the commercial distribution of our product candidates, we must conduct extensive preclinical tests and clinical trials to demonstrate the safety and efficacy in humans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not have the financial resources to continue development of, or the ability to enter into new collaborations for, a product candidate if we experience any issues that delay or prevent regulatory approval of, or our ability to commercialize, product candidates,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preclinical study results may show the product candidate to be less effective than desired or to have harmful or problematic side effects;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negative or inconclusive results from our clinical trials or the clinical trials of others for product candidates similar to ours, leading to a decision or requirement to conduct additional preclinical testing or clinical trials or abandon a program;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product-related side effects experienced by patients in our clinical trials or by individuals using product similar to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manufacturers’ inability to successfully manufacture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of any third-party contract manufacturer to scale up manufacturing of our product candidates and those of our collaborators to supply the needs of clinical trials or commercial sales;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submitting INDs or other comparable foreign applications or delays or failures in obtaining the necessary approvals from regulators to commence a clinical trial, or a suspension or termination of a clinical trial once commenced;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preclinical studies conducted outside of the United States may be affected by tariffs (including tariffs that have been or may in the future be imposed by the United States or other countries), sanctions, trade protection measures or import/export restrictions imposed by the United States or other foreign governments (including further legislation or actions taken by the United States or other countries that restrict trade);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conditions imposed by the FDA, EMA or other comparable foreign regulatory authorities regarding the scope or design of our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enrolling patients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high drop-out rates of our clinical trial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inadequate supply or quality of product candidate components or materials or other supplies necessary for the conduct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obtain alternative sources of supply for which we have a single source for product candidate components or materials;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greater than anticipated costs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 costs, formulation issues, pricing or reimbursement issues, or other factors that no longer make a product candidate economically feasible;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harmful side effects or inability of our product candidates to meet efficacy endpoints during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demonstrate a benefit-risk profile acceptable to the FDA, EMA, or other comparable foreign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unfavorable FDA, EMA, or other comparable foreign regulatory authority inspection and review of any of the clinical trial sites or manufacturing facilities used in the testing and manufacture of any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of our third-party contractors or investigators to comply with regulatory requirements or otherwise meet their contractual obligations in a timely manner,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and changes in regulatory requirements, policy and guidelines, including the imposition of additional regulatory oversight around clinical testing generally or with respect to our technology in particular;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varying interpretations of our data by the FDA, EMA, and similar foreign regulatory authorities.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inability to complete development of, or commercialize our product candidates, or significant delays in doing so due to one or more of these factors, could have a material and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Preclinical and clinical drug development is a lengthy and expensive process, with uncertain timelines and outcomes. If preclinical studies or clinical trials of our product candidates are prolonged or delayed, we may be unable to obtain required regulatory approvals, and therefore be unable to commercialize our therapeutic candidates or any of our future therapeutic candidates on a timely basis or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development of pharmaceutical products involves a lengthy and expensive process, is highly uncertain, and is dependent on numerous factors, many of which are beyond our control. Product candidates that appear promising in the early phases of development may fail to reach the market for several reasons,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 results may show the product candidates to be less effective than expected (for example, a clinical trial could fail to meet its primary or key secondary endpoint(s)) or have an unacceptable safety or tolerability profile;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receive the necessary regulatory approvals or a delay in receiving such approvals, which, among other things, may be caused by patients who fail the trial screening process, slow enrollment in clinical trials, patients dropping out of trials, patients lost to follow-up, length of time to achieve trial endpoints, additional time requirements for data analysis or New Drug Application (“NDA”) or similar foreign application preparation, discussions with the FDA, EMA or other comparable foreign regulatory authorities, including FDA, EMA or other comparable foreign regulatory authorities requesting additional preclinical or clinical data (such as long-term toxicology studies), or encountering unexpected safety or manufacturing issues;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preclinical study results may show the product candidate to be less effective than desired or to have harmful on-target or off-target side effects;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imposition of extensive post-marketing approval requirements;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proprietary rights of others and their competing products and technologies that may prevent our product candidates from being commercialized.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the length of time necessary to complete clinical trials and submit an application for marketing approval for a final decision by a regulatory authority varies significantly from one product candidate to the next and from one country or jurisdiction to the next and may be difficult to predict. Even if we are successful in obtaining marketing approval, commercial success of any approved products will also depend in large part on the availability of coverage and adequate reimbursement from third-party payors, including government payors such as the Medicare and Medicaid programs and managed care organizations in the United States or country-specific governmental organizations in foreign countries, which may be affected by existing and future healthcare reform measures designed to reduce the cost of healthcare. Third-party payors could require us to conduct additional studies, including post-marketing studies related to the cost effectiveness of a product, to qualify for reimbursement, which could be costly and divert our resources. If government and other healthcare payors were not to provide coverage and adequate reimbursement for our products once approved, market acceptance and commercial success would be reduced. Even if we are able to obtain coverage and adequate reimbursement for our products once approved, there may be features or characteristics of our products, such as dose preparation requirements, that prevent our products from achieving market acceptance by the healthcare or patient communities.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if any of our product candidates receive marketing approval, we will be subject to significant regulatory obligations regarding the submission of safety and other post-marketing information and reports and registration, and will need to continue to comply (or ensure that our third-party providers comply) with cGMPs and GCPs for any clinical trials that we conduct post-approval. In addition, there is always the risk that we, a regulatory authority or a third party might identify previously unknown problems with a product post-approval, such as AEs of unanticipated severity or frequency. Compliance with these requirements is costly, and any failure to comply or other issues with our product candidates post-approval could adversely affect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encounter substantial delays in the commencement, enrollment or completion of our planned clinical trials or we may fail to demonstrate safety and efficacy to the satisfaction of applicable regulatory authorities, which could prevent us from commercializing any product candidates we determine to develop on a timely basis, if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 of failure in developing product candidates is high. It is impossible to predict when or if any product candidate would prove effective or safe in humans or will receive regulatory approval. Before obtaining marketing approval from regulatory authorities for the sale of any product candidate, we must complete preclinical development, submit an IND or comparable foreign application to permit initiation of clinical studies, and then conduct extensive clinical trials to demonstrate the safety and efficacy of product candidates in humans.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Before we can commence clinical trials for a product candidate, we must complete extensive preclinical testing and studies that support our INDs and other regulatory filings. We cannot be certain of the timely identification of a product candidate or the successful completion or outcome of our preclinical testing and studies and cannot predict whether the FDA, EMA or other comparable foreign regulatory authorities will accept our proposed clinical programs or whether the outcome of our preclinical testing and studies will ultimately support the further development of any product candidates. Conducting preclinical testing is a lengthy, time-consuming and expensive process. The length of time may vary substantially according to the type, complexity and novelty of the program, and often can be several years or more per program. As a result, we cannot be sure that we will be able to submit INDs or other comparable foreign regulatory submissions for our preclinical programs on the timelines we expect, if at all, and we cannot be sure that submission of INDs will result in the FDA, EMA, or other comparable foreign regulatory authority allowing clinical trials to begin.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product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Clinical testing is expensive, is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trial design, dose selection issues, patient enrollment criteria and failure to demonstrate favorable safety or efficacy traits.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events that may prevent successful enrollment, initiation or timely completion of clinical development include: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we may be unable to generate sufficient preclinical, toxicology or other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or </w:t>
      </w:r>
      <w:r>
        <w:rPr>
          <w:rFonts w:ascii="Times New Roman" w:hAnsi="Times New Roman"/>
          <w:i/>
          <w:color w:val="000000"/>
          <w:sz w:val="20"/>
        </w:rPr>
        <w:t>in vitro</w:t>
      </w:r>
      <w:r>
        <w:rPr>
          <w:color w:val="000000"/>
        </w:rPr>
        <w:t xml:space="preserve"> </w:t>
      </w:r>
      <w:r>
        <w:rPr>
          <w:rFonts w:ascii="Times New Roman" w:hAnsi="Times New Roman"/>
          <w:color w:val="000000"/>
          <w:sz w:val="20"/>
        </w:rPr>
        <w:t>data to support the initiation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reaching a consensus with applicable regulatory authorities on trial design or implementation;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obtaining regulatory authorization to commence a clinical trial;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reaching agreement on acceptable terms with prospective CROs, other vendors, or clinical trial sites, the terms of which can be subject to extensive negotiation and may vary significantly among different vendors and trial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obtaining approval from one or more IRBs refusing to approve, suspending or terminating the trial at an investigational site, precluding enrollment of additional participants, or withdrawing their approval of the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recruiting suitable patients to participate in our ongoing and planned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to the clinical trial protocol;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sites deviating from trial protocol or dropping out of a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manufacturing sufficient quantities of our product candidates for use in clinical trials, or delays in sufficiently developing, characterizing or controlling a manufacturing process suitable for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having our product candidates being shipped on time, clearing customs and arriving at clinical trial sites intact;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having patients complete participation in a trial or return for post-treatment follow-up;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participants choosing an alternative treatment for the indication for which we are developing our product candidates, or participating in competing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lack of adequate funding to continue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occurrence of AEs or SAEs associated with the product candidate that are viewed to outweigh its potential benefits;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occurrence of SAEs in clinical trials of the same class of agents conducted by other companies;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imposition of a temporary or permanent clinical hold by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selection of clinical trial end points that require prolonged periods of clinical observation or analysis of the resulting data;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trials producing negative or inconclusive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facility manufacturing our product candidates or any of their components being ordered by the FDA or comparable foreign authorities to temporarily or permanently shut down due to violations of cGMP regulations or other applicable requirements, or contamination or cross-contaminations of product candidates in the manufacturing process;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third-party clinical investigators losing the licenses or permits necessary to perform our clinical trials, not performing our clinical trials on our anticipated schedule or consistent with the clinical trial protocol or other regulatory requirements or committing fraud;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regulatory requirements, guidance, or feedback from regulatory agencies that require amending or submitting new clinical protocols or otherwise modifying the design of our clinical trials.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could also encounter delays if a clinical trial is suspended or terminated by us, by the IRBs overseeing the conduct of such trials, by a Data Safety Monitoring Board for such trial or by the FDA, EMA, or other comparable foreign regulatory authorities. Such regulatory authorities may impose such a suspension or termination due to a number of factors, including failure to conduct the clinical trial in accordance with regulatory requirements or our clinical protocols, inspection of the clinical trial operations or trial site by the FDA, EMA, or other comparable regulatory foreign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and approval, which may impact the costs, timing or successful completion of a clinical trial.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conducting clinical trials in foreign countries, as we have done and may continue to do for our product candidates, presents additional risks that may delay completion of our clinical trials. These risks include the failure of enrolled patients in foreign countries to adhere to clinical protocols as a result of differences in healthcare services or cultural customs, managing additional administrative burdens associated with foreign regulatory requirements, as well as political, currency exchange and other economic risks relevant to such foreign countries. Investigators and patients may not be able to comply with clinical trial protocols if quarantines or other constraints impede patient movement or interrupt healthcare services. Similarly, our ability to recruit and retain patients and principal investigators and site staff which in turn could adversely impact our clinical trial operations. Additionally, we may experience interruption of key clinical trial activities, such as clinical trial site monitoring, due to limitations on travel, quarantines or social distancing protocols imposed or recommended by federal or state governments, employers and others in connection with public health concerns. We may face delays in meeting our anticipated timelines for our ongoing and planned clinical trials, which could adversely affect our business, financial condition, results of operations and growth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inability to successfully complete preclinical and clinical development could result in additional costs to us or impair our ability to generate revenue from future product sales and regulatory and commercialization milestones. In addition, if we make manufacturing or formulation changes to our product candidates, we may need to conduct additional testing to bridge our modified product candidate to earlier versions. Clinical trial delays could also shorten any periods during which we may have the exclusive right to commercialize our product candidates, if approved, or allow our competitors to bring comparable products to market before we do, which could impair our ability to successfully commercialize our product candidates and may harm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any of which would limit the commercial potential of such product candidate.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date, we have not completed the evaluation of any product candidates in advanced human clinical trials. It is impossible to predict when or if any product candidates we may develop will ultimately prove safe in humans. As is the case with pharmaceuticals generally, it is likely that there may be side effects and AEs associated with our product candidates’ use. Often, it is not possible to determine whether or not the product candidate being studied caused these conditions. Regulatory authorities may draw different conclusions or require additional testing to confirm these determinations, if they occur. In addition, it is possible that as we test our product candidates in larger, longer and more extensive clinical trials with a broader group of patients, or as use of these product candidates becomes more widespread if they receive marketing approval, illnesses, injuries, discomforts and other AEs that were observed in earlier trials, as well as conditions that did not occur or went undetected in previous trials, will be reported by participants. Many times, side effects are only detectable after investigational product candidates are tested in large-scale, Phase 3 trials or, in some cases, after they are made available to patients on a commercial scale after approval. If additional clinical experience indicates that any of our product candidates has serious or life-threatening side effects or other side effects that outweigh the potential therapeutic benefit, the development of the product candidate may fail or be delayed, or, if the product candidate has received marketing approval, such approval may be revoked, which would harm our business, prospects, operating results and financial condition. In particular, because we are developing our product candidates for chronic indications, the FDA, EMA, and other comparable foreign regulatory authorities will likely require that our product candidates demonstrate a higher level of safety over a longer period of time than would be the case for product candidates intended for short-term use. Moreover, if we elect, or are required, to delay, suspend or terminate any clinical trial of our product candidates, the commercial prospects of our product candidates may be harmed and our ability to generate revenue through their sale may be delayed or eliminated. Any of these occurrences may harm our business, financial condition and prospects significantly.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if our product candidates are associated with undesirable side effects in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value for the product candidate if approved. We may also be required to modify our trial plans based on findings after we commence our clinical trials. Many compounds that initially showed promise in early-stage testing have later been found to cause side effects that prevented further development of the compound. For example, we discontinued development of our previous lead candidate, SEP-786, following the observation of two unanticipated severe (Grade 3) events of elevated unconjugated bilirubin in the MAD portion of the Phase 1 trial.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if any of our product candidates receive marketing approval, the FDA could require us to include a boxed warning in our label or adopt a risk evaluation and mitigation strategy (“REMS”), to ensure that the benefits outweigh its risks, which may include, among other things, a medication guide outlining the risks of the drug for distribution to patients and a communication plan to health care practitioners. For example, the FDA required that the product label for NATPARA, an approved, injectable parathyroid hormone product targeting PTH1R for the management of hypoparathyroidism include a boxed warning related to the risk of osteosarcoma based on rodent carcinogenicity studies and also implemented a REMS program to ensure patients and prescribers were appropriately counseled on the benefits and risks of the drug. Similarly, the FDA initially included boxed warnings for FORTEO and TYMLOS, injectable PTH peptides approved for osteoporosis due to the risk of osteosarcoma. While we have not yet conducted carcinogenicity studies for any of our product candidates that target PTH1R, it is possible that absent compelling data to the contrary, the FDA, EMA, and other comparable foreign regulatory authorities will similarly require a boxed warning if any product candidates we may advance to clinical development that target PTH1R are approved for marketing. Furthermore, if we or others later identify undesirable side effects caused by our product candidates, several other potentially significant negative consequences could result,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authorities may suspend or withdraw approvals of such product candidate;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authorities may require additional warnings on the label, including “boxed” warnings, or issue safety alerts, Dear Healthcare Provider letters, press releases or other communications containing warnings or other safety information about the product;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required to change the way a product candidate is administered or conduct additional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could be sued and held liable for harm caused to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could be subject to fines, injunctions, or the imposition of criminal or civil penalties;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need to conduct a recall;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forced to suspend marketing of that product, or decide to remove the product from the marketplace;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product may become less competitive, and our reputation may suffer.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events could prevent us from achieving or maintaining market acceptance of our product candidates and could significantly harm our business, prospects,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 candidates are subject to extensive regulation and compliance obligations, which is costly and time-consuming and which may cause unanticipated delays or prevent the receipt of the required approvals to commercialize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research, clinical development, testing, quality control, safety, effectiveness, manufacturing, labeling, packaging, storage, record-keeping, advertising, promotion, marketing, import, export, distribution, post-approval monitoring, and post-approval reporting of our product candidates are subject to extensive regulation by the FDA in the United States and by comparable foreign regulatory authorities in foreign markets. In the United States, neither we nor any current or future collaborators are permitted to market our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new relevant statutes or regulations may be enacted, and the FDA, EMA and other comparable foreign regulatory authorities have substantial discretion in the drug approval process, including the ability to delay, limit or deny approval of a product candidate for many reasons. Despite the time and expense invested in clinical development of product candidates, regulatory approval is never guaranteed.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Prior to obtaining approval to commercialize a product candidate in the United States or abroad, we or our collaborators must demonstrate with substantial evidence from adequate and well-controlled clinical trials, and to the satisfaction of the FDA, EMA or other comparable foreign regulatory authorities, that such product candidates are safe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EMA and other comparable foreign regulatory authorities, which could require us to delay or abandon clinical development plans. In addition, regulatory authorities may require us to conduct further preclinical studies before evaluating our product candidate in a clinical trial. Once we initiate clinical trials, the FDA, EMA, or other comparable foreign regulatory authorities may require additional clinical trials or suggest changes to our planned clinical trials, prior to and in support of the approval of a NDA or equivalent foreign marketing application. Changes to data requirements by the FDA, EMA, or other comparable foreign regulatory authorities during the development of our product candidates may cause the applicable regulatory authorities to require us to conduct additional preclinical studies or clinical trials for our product candidates either prior to or post-approval, or regulatory authorities may object to elements of our clinical development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EMA or other comparable foreign regulatory authorities can delay, limit or deny approval of a product candidate for many reasons,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such authorities may disagree with the design or implementation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negative or ambiguous results from our clinical trials or results may not meet the level of statistical significance required by the FDA, EMA or other comparable foreign regulatory authorities for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serious and unexpected drug-related side effects may be experienced by participants in our clinical trials or by individuals using drugs similar to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population studied in the clinical trial may not be sufficiently broad or representative to assure safety in the full population for which we seek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such authorities may not accept clinical data from trials which are conducted at clinical facilities or in countries where the standard of care is potentially different from that of the United States;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inability to demonstrate that a product candidate is safe and effective, and that a product candidate’s clinical and other benefits outweigh its safety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such authorities may disagree with our interpretation or analysis of data from preclinical studies or clinical trials; such authorities may not agree that the data collected from clinical trials of our product candidates are acceptable or sufficient to support the submission of an NDA or other submission or to obtain regulatory approval in the United States or elsewhere, and such authorities may impose requirements for additional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such authorities may disagree regarding the formulation, labeling and/or the specifications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approval may be granted only for indications that are significantly more limited than what has been applied for and/or with other significant restrictions on distribution and use;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such authorities may find deficiencies in the manufacturing processes, approval policies or facilities of our third-party manufacturers with which we or any of our current or future collaborators contract for clinical and commercial supplies;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approval policies or regulations of such authorities may significantly change in a manner rendering our or any of our current or future collaborators’ clinical data insufficient for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 respect to foreign markets, approval procedures vary among countries and, in addition to the foregoing risks, may involve additional product testing, administrative review periods and agreements with pricing authorities. In addition, events raising questions about the safety of certain marketed pharmaceuticals may result in increased cautiousness by the FDA, EMA, and other comparable foreign regulatory authorities in reviewing new drugs based on safety, efficacy or other regulatory considerations and may result in significant delays in obtaining regulatory approvals. Any delay in obtaining, or inability to obtain, applicable regulatory approvals would prevent us or any of our current or future collaborators from commercializing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 the large number of drugs in development, only a small percentage successfully complete the FDA, EMA,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Enrollment and retention of patients in clinical trials is an expensive and time-consuming process and could be made more difficult or rendered impossible by multiple factors outside our control, which could adversely affect our business, operating results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Patient enrollment and retention in clinical trials is a significant factor in the timing of clinical trials and depends on many factors, including the size and nature of the patient population, the nature of the trial protocol, the existing body of safety and efficacy data with respect to the study drug, the number, nature and duration of competing treatments and ongoing clinical trials of competing drugs for the same indication, the proximity of patients to clinical trial sites and the eligibility criteria for the clinical trial. As our programs progress, we or our collaborators may not be able to initiate or continue clinical trials for any product candidates we identify or develop if sufficient numbers of eligible patients are unable to be located and enrolled to participate in these trials as required by the FDA, EMA, or other comparable foreign authorities, or as needed to provide appropriate statistical power for a given trial. For certain of our product candidates, the conditions which we may evaluate include rare diseases with limited patient pools from which to draw. In some cases, patient populations for rare diseases are located at specific academic sites focused on such indications, often with multiple competing clinical trials. Potential patients for any planned clinical trials may not be adequately diagnosed or identified with the diseases which we are targeting or may not meet the entry criteria for such trials. We or our collaborators also may encounter difficulties in identifying and enrolling patients with a stage of disease appropriate for the planned clinical trials and monitoring such patients adequately during and after treatment. As noted above, other pharmaceutical companies targeting these same diseases are recruiting clinical trial patients from these patient populations, and patients who would otherwise be eligible for our clinical trials may instead enroll in clinical trials of our competitors’ product candidates, which may make it more difficult to fully enroll patients in clinical trials for our product candidates. In addition, the process of finding and diagnosing patients may prove costly.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eligibility criteria of clinical trials for our product candidates, once established, may further limit the pool of available trial participants. If the actual number of patients with these diseases is smaller than anticipated, clinical trials for our product candidates may encounter difficulties in enrolling patients, thereby delaying or preventing development and approval of our product candidates. Even once a sufficient number of patients have been enrolled in a clinical trial for our product candidate, the inability to retain patients through to the study’s completion may cause a failure of the study to meet its objectives and/or clinical endpoints.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timely completion of clinical trials in accordance with their protocols depends, among other things, on the ability to enroll a sufficient number of patients who remain in the study until its conclusion. We may experience difficulties in patient enrollment or retention in our clinical trials for a variety of reasons. Patient enrollment and retention in clinical trials depends on many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size and nature of the patient population, in particular for rare diseases such as the diseases on which we are focused initially, and process for identifying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severity of the disease under investigation;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design of the trial protocol;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efforts to facilitate timely enrollment in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existing body of safety and efficacy data for the product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and nature of competing treatments and ongoing clinical trials of competing therapies for the same indication;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proximity and availability of clinical trial sites for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eligibility and exclusion criteria for the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complexity of the trial, including number of office visits, lab tests, patient evaluations, and dosing regimens;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recruit clinical trial investigators with the appropriate competencies and experience;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adequately monitor patients during a trial, clinicians’ and patients’ perceptions as to the potential advantages of the product candidate being studied;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 that enrolled patients will drop out of a trial before completing all site visits;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clinicians’ and patients’ perceptions as to the potential advantages of the drug being studied in relation to other available therapies.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our efforts to build relationships with patient communities may not succeed, which could result in delays in patient enrollment in clinical trials for our product candidates. In addition, any negative results we or our collaborators may report in clinical trials of a given product candidate may make it difficult or impossible to recruit and retain patients in other clinical trials of that same product candidate. Delays or failures in planned patient enrollment or retention may result in increased costs, program delays or both, which could have a harmful effect on our ability to develop our product candidates, or could render further development impossible. Further, if patients drop out of clinical trials for our product candidates, miss scheduled doses or follow-up visits, or otherwise fail to follow clinical trial protocols, the integrity of data from clinical trials for our product candidates may be compromised or not accepted by the FDA, EMA, or other comparable foreign regulatory authorities, which would represent a significant setback for the applicable program. In addition, we may rely on CROs and clinical trial sites to ensure proper and timely conduct of our future clinical trials and, while we intend to enter into agreements governing their services, we will be limited in our ability to compel their actual performance. Such delays or failures could adversely affect our business, operating results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requirements for any clinical trials that we conduct post-approval.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Manufacturers and manufacturers’ facilities are required to comply with extensive FDA, EMA and other comparable foreign regulatory authority requirements, including ensuring that quality control and manufacturing procedures conform to cGMP regulations and applicable product tracking and tracing requirements. As such, we and our contract manufacturers will be subject to continual review and inspections to assess compliance with cGMP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Certain endpoint data we hope to include in any approved product labeling also may not make it into such labeling, including exploratory or secondary endpoint data such as patient-reported outcome measures.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EMA or other comparable foreign regulatory authority approves our product candidates, we will have to comply with requirements including submissions of safety and other post-marketing information and reports and registration.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AEs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restrictions on the marketing or manufacturing of our products, withdrawal of the product from the market or voluntary product recalls;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fines, warning letters or holds on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refusal by the FDA to approve pending applications or supplements to approved applications filed by us or suspension or withdrawal of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seizure or detention or refusal to permit the import or export of our product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under the FDORA, sponsors of approved drugs and biologics must provide six months’ notice to the FDA of any changes in marketing status, such as the withdrawal of a drug, and failure to do so could result in the FDA issuing a publicly available non-compliance letter to the sponsor. The FDA strictly regulates marketing, labeling, advertising and promotion of products that are placed on the market. Products may be promoted only for the approved indications and in accordance with the provisions of the approved label. The policies of the FDA, EMA and other comparable foreign regulatory authorities may change and additional government regulations may be enacted that could prevent, limit or delay regulatory approval of our product candidates. 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As a result of the U.S. Supreme Court’s decision, the FDA and other agencies may be less inclined to engage in formal regulation and may rely to a greater degree on informal guidance, which may not always be susceptible to immediate challenge. We cannot predict the likelihood, nature or extent of government regulation or guidance that may arise from future court decisions, legislation, or administrative action, either in the United States or abroad. If we are slow or unable to adapt to changes in existing requirements or guidance or the adoption of new requirements, guidance, or policies, or if we are not able to maintain regulatory compliance, we may lose any marketing approval that we may have obtained and we may not achieve or sustain profitability.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do not achieve our projected development goals in the time frames we announce and expect, the commercialization of our therapeutics may be delayed and, as a result, our stock price may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estimate the timing of the anticipated accomplishment of various scientific, clinical, regulatory and other product development goals, which we sometimes refer to as milestones. These milestones may include our expectations regarding the commencement or completion of scientific studies and clinical trials and the submission of regulatory filings. From time to time, we may publicly announce the expected timing of some of these milestones, such as the completion of an ongoing clinical trial or the initiation of other clinical programs. All of these milestones are and will be based on numerous assumptions,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available capital resources or capital constraints we experience;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rate of progress, costs and results of clinical trials for our drug candidates and research and development activities, including the extent of scheduling conflicts with participating clinicians and collaborators;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or our collaborators’ ability to identify and enroll patients who meet clinical trial eligibility criteria;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or our collaborators’ receipt of approvals by the FDA, EMA, and other comparable foreign regulatory authorities and the timing thereof;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actions, decisions or rules issued by regulators;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or our collaborators’ ability to access sufficient, reliable and affordable supplies of materials used to manufacture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efforts of our collaborators with respect to the commercialization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securing of, costs related to, and timing issues associated with, product manufacturing as well as sales and marketing activities;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securing product reimbursement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actual timing of these milestones can vary dramatically compared to our estimates, in some cases for reasons beyond our control. If these milestones are not met as publicly announced, or at all, the commercialization of our product candidates may be delayed or never achieved and, as a result, our stock price may decline.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Results of preclinical studies and early clinical trials on any of our product candidates may not be predictive of results of future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outcome of preclinical studies and early clinical trials may not be predictive of the success of later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AEs. In addition, while the animal models used in preclinical studies are designed to be representative of disease states in humans, these preclinical models may not be able to accurately predict the way a product candidate will affect patients in clinical trials. We have limited experience in designing clinical trials and may be unable to design and execute a clinical trial to support regulatory approval. In addition,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product formulation and other clinical trial protocols and the rate of dropout among clinical trial patients. If we fail to receive positive results in clinical trials of our product candidates, the development timeline and regulatory approval and commercialization prospects for our most advanced product candidates, and, correspondingly, our business and financial prospects would be negatively impacted.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expend our limited resources to pursue a particular product candidate and fail to capitalize on product candidates or indications that may be more profitable or for which there is a greater likelihood of success.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limited financial and managerial resources, and to date, we have focused on research programs and product candidates within the endocrinology, immunology and inflammation, neurology and metabolic therapeutic areas. In September 2025, we selected a new PTH1R development candidate, SEP-479, and we plan to initiate a placebo-controlled, SAD and MAD Phase 1 clinical trial in Australia, pending the successful completion of regulatory submissions in the first half of 2026. Correctly prioritizing our research and development activities is particularly important for us due to the breadth of potential product candidates and indications that we believe could be pursued by leveraging our Native Complex Platform®. As a result, we may forgo or delay pursuit of opportunities with other product candidates or in other therapeutic areas that later prove to have greater commercial potential. Our resource allocation decisions may cause us to fail to timely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We must continually assess the potential commercial viability of our research programs and product candidates, and we may decide to pause or discontinue development of any of our product candidates based upon such assessments, even if we obtain positive data from our product candidates in preclinical studies and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proprietary Native Complex Platform® is based on novel technologies that are unproven and may not result in approvable or marketable products, which exposes us to unforeseen risks and makes it difficult for us to predict the time and cost of product development and potential for regulatory approval, and we may not be successful in our efforts to expand our development portfolio of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key element of our strategy is to use our proprietary Native Complex Platform® to overcome the historical limitations of GPCR drug development, including the isolation, purification and stabilization of GPCRs in their native forms, in order to build a robust and diverse portfolio of potentially first-in-class and best-in-class oral small molecule therapies that address both well-validated and novel GPCR targets.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scientific research that forms the basis of our efforts to develop product candidates with our platform is still ongoing. We are not aware of any FDA approved therapeutics utilizing the technology underlying our platform. Further, the scientific evidence to support the feasibility of developing therapeutic treatments based on our platform is both preliminary and limited. As a result, we are exposed to a number of unforeseen risks and it is difficult to predict the types of challenges and risks that we may encounter during development of our product candidates. For example, we have only generated limited clinical data on our prior lead candidate, SEP-786, which led us to discontinue the program, and we have generated only limited early clinical data for SEP-631, our selective, oral small molecule MRGPRX2 NAM. Our current data on our development pipeline is limited to animal models and preclinical cell lines, the results of which may not translate into humans. Further, relevant animal models and assays may not accurately predict the safety and efficacy of our product candidates in humans, and we may encounter significant challenges creating appropriate models and assays for demonstrating the safety and purity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Given the novelty of our technology, we intend to work closely with the FDA and comparable foreign regulatory authorities to perform the requisite scientific analyses and evaluation of our methods to obtain regulatory approval for our product candidates; however, due to a lack of comparable experiences, the regulatory pathway with the FDA and comparable regulatory authorities may be more complex and time-consuming relative to other more well-known therapeutics. Even if we obtain human data to support our product candidates, the FDA or comparable foreign regulatory authorities may lack experience in evaluating the safety and efficacy of product candidates like those developed using our platform, which could result in a longer than expected regulatory review process, increase our expected development costs, and delay or prevent commercialization of our product candidates. We cannot be certain that our approach will lead to the development of approvable or marketable products, alone or in combination with other therapies.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our research and development efforts to date have resulted in a development portfolio of potential programs and product candidates, we may not be able to discover or identify novel chemical matter to new GPCR targets and thus not be able to develop product candidates to expand our development portfolio. We may also pursue opportunities to acquire or in-license additional businesses, technologies or products, form strategic alliances or create joint ventures with third parties to complement or augment our existing business. However, we may not be able to identify any product candidates through such acquisition or in-license.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we are successful in continuing to build and expand our development portfolio, the potential product candidates that we identify may not be suitable for clinical development. For example, they may be shown to have harmful side effects or other characteristics that indicate that they are unlikely to be drugs that will be successful in clinical trials or receive marketing approval and achieve market acceptance. If we do not successfully develop and commercialize product candidates, we will not be able to obtain drug revenues in future periods, which likely would result in significant harm to our financial position and adversely affect our stock price.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Preliminary, topline and interim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publicly disclose interim, preliminary or topline data from our preclinical studies and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made public. As a result, topline and preliminary data should be viewed with caution until the final data are available. 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topline, preliminary or interim data and final data could significantly harm our business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develop our product candidates in combination with other therapies, which would expose us to additional risks.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develop our product candidates in combination with one or more currently approved therapies or therapies in development. 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also evaluate our product candidates in combination with one or more other therapies that have not yet been approved for marketing by the FDA, EMA or other comparable foreign regulatory authorities. We will not be able to market and sell any product candidate in combination with any such unapproved therapies that do not ultimately obtain marketing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we cannot be certain that we will be able to obtain a steady supply of such therapies for use in developing combinations with our product candidates on commercially reasonable terms or at all. Any failure to obtain such therapies for use in clinical development and the expense of purchasing therapies in the market may delay our development timelines, increase our costs and jeopardize our ability to develop our product candidates as commercially viable therapies. If the FDA, EMA or other comparable foreign regulatory authorities do not approve or withdraw their approval of these other therapies, or if safety, efficacy, commercial adoption, manufacturing or supply issues arise with the therapies we choose to evaluate in combination with any of our product candidates, we may be unable to obtain approval of or successfully market any one or all of the product candidates we develop. 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Commercialization, Marketing and Competition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currently have no marketing and sales organization and have no experience as a company in commercializing products, and we may invest significant resources to develop these capabilities. If we are unable to establish marketing, sales or distribution capabilities or enter into agreements with third parties to market and sell our products, we may not be able to generate product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no internal sales, marketing or distribution capabilities, nor have we as a company commercialized a product. If any of our product candidates ultimately receives marketing approval, we will be required to build a marketing and sales organization with technical expertise and supporting distribution capabilities to commercialize each such product in the markets that we target, which will be expensive and time consuming, or collaborate with third parties that have direct sales forces and established distribution systems, either to augment our own sales force and distribution systems or in lieu of our own sales force and distribution systems. We have no prior experience as a company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Furthermore, we are currently developing products for multiple indications in different medical specialties, which will require us to build different sales and marketing capabilities that are tailored to a given product or medical specialty. 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Even if any of our product candidates receive marketing approval, such product candidate may fail to achieve market acceptance by physicians, patients, third-party payors or others in the medical community necessary for commercial success, in which case we may not generate significant revenues or become profitable.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never commercialized a product, and even if any of our product candidates are approved by the appropriate regulatory authorities for marketing and sale, it may nonetheless fail to gain sufficient market acceptance by physicians, patients, third-party payors and others in the medical community. Historically, several injectable PTH peptides have been approved by the FDA and other regulatory authorities for treatment of hypoparathyroidism and osteoporosis. However, our lead product candidate is an oral small molecule agonist; to date, no such oral small molecule in this indication has been approved by the FDA or any other regulatory agency. Market participants with significant influence over acceptance of new treatments, such as clinicians and third-party payors, may not adopt new oral treatments for hypoparathyroidism or osteoporosis, and we may not be able to convince the medical community and third-party payors to accept and use, or to provide favorable reimbursement for, any product candidates developed by us or our existing or future collaborators. If our product candidates do not achieve an adequate level of acceptance, we may not generate significant product revenue and may not become profitable. The degree of market acceptance of our product candidates, if approved for commercial sale, will depend on a number of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clinical indications and patient populations for which the product candidate is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safety, efficacy and potential advantages compared to alternative treatments and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of market introduction of the product as well as competitive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effectiveness of sales and marketing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strength of our or our collaborators’ relationships with patient communities;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treatment in relation to alternative treatments and therapies, including any similar generic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offer such product for sale at competitive prices;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convenience and ease of administration compared to alternative treatments and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willingness of the target patient population to try new therapies and of physicians to prescribe these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limitations or warnings, including distribution or use of restrictions contained in the product’s approved labeling;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third-party coverage and adequate reimbursement;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willingness of patients to pay out-of-pocket in the absence of coverage and adequate reimbursement by third-party payors and government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strength of marketing and distribution support;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inclusion of any REMS program or other restrictions included by the regulators;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prevalence and severity of any side effects;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restrictions on the use of the product together with other medications.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efforts to educate physicians, patients, third-party payors and others in the medical community on the benefits of our product candidates may require significant resources and may never be successful. Because we expect sales of our product candidates, if approved, to form the basis for substantially all of our revenues for the foreseeable future, the failure of our product candidates, if approved, to find market acceptance would harm our business and could require us to seek additional financing.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Even if we are able to commercialize any product candidate, the third-party payor coverage and reimbursement status of newly-approved products is uncertain. Failure to obtain or maintain adequate coverage and reimbursement for our product candidates could limit our ability to market those products and decrease our ability to generate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availability and adequacy of coverage and reimbursement by governmental healthcare programs such as Medicare and Medicaid, private health insurers and other third-party payors in the United States are essential for most patients to be able to afford treatments such as our products or product candidates, if approved. Our ability to achieve acceptable levels of coverage and reimbursement for drug treatments by governmental authorities, private health insurers and other organizations will have an effect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successfully commercialize our products, and potentially attract additional collaboration partners to invest in the development of our product candidates. We cannot be sure that adequate coverage and reimbursement in the United States, the EU, Australia or elsewhere will be available for our products or any products that we may develop, and any reimbursement that may become available may be decreased or eliminated in the future. For more information, see the section titled “Business–Government Regulation–Coverage and Reimbursement.”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Third-party payors increasingly are challenging prices charged for pharmaceutical products, medical devices and services, and many third-party payors may refuse to provide coverage and reimbursement for particular drugs when an equivalent generic drug is available. It is possible that a third-party payor may consider our products or product candidates, if approved, and a generic drug as substitutable and only offer to reimburse patients for the generic drug. Even if we show improved efficacy or safety or improved convenience of administration with our products or product candidates, if approved, pricing of an established drug for the same or similar indication may limit the amount we will be able to charge for such product. If reimbursement is not available or is available only at limited levels, we may not be able to successfully commercialize our products or product candidates, and may not be able to obtain a satisfactory financial return on products that we may develop.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biologics and medical devices will be covered. The Medicare and Medicaid programs increasingly are used as models for how private payors and other governmental payors develop their coverage and reimbursement policies for drugs, biologics and medical devices. It is difficult to predict at this time what third-party payors will decide with respect to the coverage and reimbursement for our products or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products and product candidates, if approved, and on drugs related to our product candidates. In many countries, the prices of medical products are subject to varying price control mechanisms as part of national health systems. Many countries, including the EU Member States, established complex and lengthy procedures to obtain price approvals, coverage and reimbursement. These procedures vary from country to country but are commonly initiated after grant of the related marketing authorization. More particularly, in the EU, potential reductions in prices and changes in reimbursement levels could be the result of different factors, including reference pricing systems. It could also result from the application of external reference pricing mechanisms, which consist of arbitrage between low-priced and high-priced countries. Reductions in the pricing of our medicinal products in one EU Member State could affect the price in other EU Member States and, thus, have a negative impact on our financial results. Other countries allow companies to fix their own prices for medical products, but monitor and control company profits. Additional foreign price controls or other changes in pricing regulation could restrict the amount that we are able to charge for our products or product candidates. Accordingly, in markets outside the United States, the reimbursement for our products may be reduced compared with the United States and may be insufficient to generate commercially reasonable revenue and profits. As an example, many EU Member States review periodically their decisions concerning the pricing and reimbursement of medicinal products. The outcome of these reviews cannot be predicted and could have adverse effects on the pricing and reimbursement of our medicinal products in the EU Member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increasing efforts by governmental and third-party payors in the United States and abroad to cap or reduce healthcare costs may cause such organizations to limit both coverage and the level of reimbursement for new products approved and, as a result, they may not cover or provide adequate payment for our products or product candidates. We expect to experience pricing pressures in connection with the sale of our products and product candidates due to the trend toward managed healthcare, the increasing influence of health maintenance organizations, and additional legislative changes. The downward pressure on healthcare costs in general, particularly prescription drugs, medical devices and surgical procedures and other treatments, has become very intense. As a result, increasingly high barriers are being erected to the entry of new products.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face substantial competition, which may result in others discovering, developing or commercializing products before or more successfully than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biotechnology and pharmaceutical industries are characterized by rapidly advancing technologies, intense competition, and a strong emphasis on proprietary and novel products and product candidates. While we believe our product candidates, platform, knowledge, experience and scientific personnel provide us with several key competitive advantages, we face competition from major pharmaceutical and biotechnology companies, academic institutions, governmental agencies and public and private research institutions, among others. Our future success will depend in part on our ability to maintain a competitive position with our structure-based drug discovery platform. If we fail to stay at the forefront of technological change in utilizing our platform to create and develop product candidates, we may be unable to compete effectively. Our competitors may render our approach obsolete by advances in existing technological approaches or the development of new or different approaches, potentially eliminating the advantages in our drug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discovery process that we believe we derive from our research approach and platform. Several other companies also focus on GPCRs and have platform technologies that are distinct from the Native Complex Platform®, including Nxera Pharma Co., Ltd. (formerly Sosei Heptares), Structure Therapeutics Inc., Tectonic Therapeutics, Inc., and Confo Therapeutics.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face competition with respect to our product candidates and will face competition with respect to any other product candidates that we may seek to develop or commercialize in the future, from major pharmaceutical companies, specialty pharmaceutical companies and biotechnology companies worldwide. There are several large pharmaceutical and biotechnology companies that currently market and sell products or are pursuing the development of product candidates for the treatment of the indications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aware of several pharmaceutical companies that have commenced clinical trials of product candidates or have successfully commercialized products addressing areas that we are targeting. Takeda Pharmaceuticals owns the rights to parathyroid hormone product (brand name NATPARA) for the treatment of hypoparathyroidism. NATPARA was voluntarily recalled due to manufacturing issues in September 2019 in the United States and is now only available to a limited number of patients through a Special Use Program offered by its manufacturer. In October 2022, Takeda Pharmaceuticals announced manufacturing of all strengths of NATPARA will be discontinued globally by the end of 2024. Ascendis Pharma received regulatory approval for a proprietary once-daily injectable PTH peptide, palopegteriparatide (brand name YORVIPATH), in Europe and the United States. In March 2024, AstraZeneca acquired Amolyt Pharma, who was developing eneboparatide, a proprietary, once-daily injectable PTH peptide, for hypoparathyroidism, currently in Phase 3 studies. In addition, we are aware of several academic groups and companies working on making longer-acting agonists of the PTH1R. Other companies and groups are developing or commercializing therapies for hypoparathyroidism, including Calcilytix Therapeutics, Inc. (a BridgeBio Pharma, Inc. company), Entera Bio Ltd, Extend Biosciences, Inc., and MBX Biosciences, Inc. Several companies are developing clinical-stage small molecule MRGPRX2 inhibitors, including Escient Pharmaceuticals (acquired by Incyte Pharmaceuticals in April 2024), Evommune, Inc. and BioArdis LLC. Further there are several other companies pursuing therapies for chronic spontaneous urticaria addressing other receptors of interest, such a Genentech, Inc., Sanofi, Celldex Therapeutics, Inc., Jasper Therapeutics, Inc., Novartis AG, Third Harmonic Bio, Inc., and Blueprint Medicines (a Sanofi company). For TSHR, we are aware that Byondis BV and Crinetics Pharmaceuticals are also working on research stage compounds, but they have not yet entered clinical development. In addition, several companies are working on other mechanisms to address Graves’ disease, such as Immunovant, Inc., and TED, including Amgen, Inc., Viridian Therapeutics, argenx SE, Roche Holding AG, Lassen Therapeutics, Inc., Tourmaline Bio, Inc. (acquired by Novartis in October 2025), Sling Therapeutics, Inc., and Acelyrin, Inc. (merged with Alumis, Inc. in May 2025). There are also several currently approved injectable products targeting incretin receptors for the treatment of obesity or type 2 diabetes (“T2D”). These include, but are not limited to, products such as Ozempic and Wegovy (semaglutide, each marketed by Novo Nordisk A/S) for T2D and obesity, respectively, Trulicity (dulaglutide, marketed by Eli Lilly and Company) for T2D, and Mounjaro and Zepbound (tirzepatide, each marketed by Eli Lilly and Company) for T2D and obesity, respectively. There are also several injectable peptide products in development pursuing similar indications with similar mechanism of actions along with combination products, including those being developed by Amgen, Inc., AstraZeneca, Boehringer Ingelheim, Eli Lilly and Company, Novo Nordisk A/S, Roche Holding AG, and Viking Therapeutics, Inc., among others. In addition, there are oral products such as Rybelsus (semaglutide, marketed by Novo Nordisk A/S) approved for patients with T2D and other oral products in development for treating obesity or T2D, including those being developed by AstraZeneca, Eli Lilly and Company, Pfizer Inc., Roche Holding AG, Structure Therapeutics Inc., and Terns Pharmaceuticals, Inc. Based on our continuing evaluations of the competitive landscape, we may decide to reallocate resources and reprioritize our development programs if we determine that a particular product candidate or target indication is no longer commercially viable or advantageous.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of our competitors, either alone or with their collaborators,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timing and scope of marketing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management and commercial personnel, establishing clinical trial sites and subject registration for clinical trials, as well as in acquiring technologies complementary to, or necessary for, our programs. Any failure to compete effectively could harm our business, financial condition and operating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EU drug marketing and reimbursement regulations may materially affect our ability to market and receive coverage for our products in the EU Member States.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intend to seek approval to market our product candidates in both the United States and in selected foreign jurisdictions, including the EU. If we obtain approval in one or more foreign jurisdictions for our product candidates, we will be subject to rules and regulations in those jurisdictions. In some foreign countries, particularly those in the EU, the pricing of products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healthcare reform measures.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 The provision of benefits or advantages to reward improper performance is typically governed by the national anti-bribery laws of EU Member States and the Bribery Act 2010 in the United Kingdom.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United Kingdom despite its departure from the EU.</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in some foreign countries, including some countries in the EU, the proposed pricing for a product must be approved before it may be lawfully marketed. The requirements governing product pricing and reimbursement vary widely from country to country. For example, some EU Member States have the option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EU Member States, can further reduce prices. An EU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pharmaceutical products will allow favorable reimbursement and pricing arrangements for any of our product candidates. Historically, products launched in the EU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Obtaining and maintaining marketing approval of our product candidates in one jurisdiction does not mean that we will be successful in obtaining marketing approval of our product candidates in other jurisdictions.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and maintaining marketing approval of our product candidates in one jurisdiction does not guarantee that we will be able to obtain or maintain marketing approval in any other jurisdiction. For example, even if the FDA grants marketing approval of a product candidate, it does not mean that comparable foreign regulatory authorities in foreign jurisdictions must also approve the manufacturing, marketing and promotion and reimbursement of the product candidate in those countries. However, a failure or delay in obtaining marketing approval in one jurisdiction may negatively impact the marketing approval process in others.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to be charged for a product candidate is also subject to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Obtaining foreign marketing approvals and establishing and maintaining compliance with foreign regulatory requirements could result in significant delays, difficulties and costs for us and could delay or prevent the introduction of our products in certain countries. If we or our collaborators fail to comply with the regulatory requirements in international markets or fail to receive applicable marketing approvals, our target market will be reduced and our ability to realize the full market potential of our product candidates will be harmed, which would adversely affect our business, prospects,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future growth may depend, in part, on our ability to commercialize products in foreign markets, where we would be subject to additional regulatory burdens and other risks and uncertainties.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growth may depend, in part, on our ability to develop and commercialize our product candidates in foreign markets. We are not permitted to market or promote any of our product candidates before we receive regulatory approval from applicable regulatory authorities in foreign markets, and we may never receive such regulatory approvals for any of our product candidates. To obtain separate regulatory approval in many other countries we must comply with numerous and varying regulatory requirements regarding safety and efficacy and governing, among other things, clinical trials, manufacturing, commercial sales, pricing and distribution of our product candidates. If we obtain regulatory approval of our product candidates and ultimately commercialize our products in foreign markets, we would be subject to additional risks and uncertainties,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different regulatory requirements for approval of drugs in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reduced protection for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existence of additional third-party patent rights of potential relevance to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unexpected changes in tariffs, trade barriers and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revenues, and other obligations incident to doing business in another country;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reimbursement, pricing and insurance regimes;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workforce uncertainty in countries where labor unrest is common;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business interruptions resulting from geopolitical actions, including war and terrorism, or natural disasters including earthquakes, typhoons, floods and fires;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business interruptions resulting from pandemics or similar public health crises.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the market opportunities for any of our product candidates are smaller than we estimate, even assuming approval of a product candidate, our revenue may be adversely affected, and our business may suffer.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precise incidence and prevalence for all the conditions we aim to address with our product candidates are unknown.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information may change the estimated incidence or prevalence of these diseases. The total addressable market across all of our product candidates will ultimately depend upon, among other things, the diagnosis criteria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 access, drug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Business Operation and Industry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operating results may fluctuate significantly, which makes our future operating results difficult to predict and could cause our operating results to fall below expectations or any guidance we may provide.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degree of success and cost of, and level of investment in, research, development, regulatory approval and commercialization activities relating to our product candidates, which may change from time to time;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coverage and reimbursement policies with respect to our product candidates, if approved, and potential future drugs that compete with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manufacturing our product candidates, which may vary depending on FDA, EMA or other comparable foreign regulatory authority guidelines and requirements, the quantity of production and the terms of our agreements with third-party manufacturers;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expenditures that we may incur to acquire, develop or commercialize additional product candidates and technologies or other assets;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level of demand for any of our product candidates, if approved, which may fluctuate significantly and be difficult to predict;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and maintain collaborations, licensing or other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adequately support future growth;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accounting pronouncements or changes in our accounting policies;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success or failure of preclinical studies or clinical trials or regulatory approval for our product candidates or any competing product candidates, or any other change in the competitive landscape of our industry, including consolidation among our competitors or partners;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intellectual property infringement lawsuit or opposition, interference or cancellation proceeding in which we may become involved;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additions and departures of key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unforeseen business disruptions that increase our costs or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effects of macro events, such as inflation, tariffs, armed conflicts, geopolitical conflicts, pandemics, natural disasters and supply chain issues, on our business and operations;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changing and volatile global economic and political environment.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price decline could occur even when we have met any previously publicly stated revenue or earnings guidance we may provide.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expect to expand our organization, and as a result, we may encounter difficulties in managing our growth, which could disrupt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2025, we had 130 full-time employees. As we advance our research and development programs, we may need to further increase the number of our employees and the scope of our operations, particularly in the areas of clinical development, biology, chemistry, manufacturing, general and administrative matters related to being a public company, regulatory affairs and, if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of our product candidates receives marketing approval, sales, marketing and distribution. To manage our anticipated future growth, we must: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expand our general and administrative functions;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identify, recruit, integrate, maintain and motivate additional qualified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manage our development efforts effectively, including the initiation and conduct of clinical trials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and build a marketing and commercial organization;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improve our operational, financial and management controls, reporting systems and procedures.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future financial performance and our ability to develop, manufacture and commercialize our product candidates, if approved, will depend, in part, on our ability to effectively manage any future growth, and our management may also have to divert financial and other resources, and a disproportionate amount of its attention away from day-to-day activities, to managing these growth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highly dependent on the services of our senior management team and if we are not able to retain these members of our management team and recruit and retain additional management, clinical and scientific personnel, our business will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highly dependent on our senior management team. In particular, we are highly dependent on the development and management expertise of Jeffrey Finer, M.D., Ph.D., our Chief Executive Officer, and the other principal members of our management, scientific and clinical team. The employment agreements we have with these officers do not prevent such persons from terminating their employment with us at any time. The loss of the services of any of these persons could impede the achievement of our research, development and commercialization objectives. In addition, we will need to attract, retain and motivate highly qualified additional management, clinical and scientific personnel. If we are not able to retain our management and to attract, on terms acceptable to us, additional qualified personnel necessary for the continued development of our business, we may not be able to sustain our operations or grow.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not be able to attract or retain qualified personnel in the future due to the intense competition for qualified personnel among biotechnology, pharmaceutical and other businesses. Many of the other pharmaceutical companies that we compete against for qualified personnel and consultants have greater financial and other resources, different risk profiles and a longer operating history in the industry than we do. They also may provide more diverse opportunities and better chances for career advancement. Some of these characteristics may be more appealing to high-quality candidates and consultants than what we have to offer. If we are unable to attract, retain and motivate high-quality personnel and consultants to accomplish our business objectives, the rate and success at which we can discover and develop product candidates and our business will be limited and we may experience constraints on our development objectives.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For example, employment of our key employees is at-will, which means that any of our employees could leave our employment at any time, with or without notice.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future performance will also depend, in part, on our ability to successfully integrate newly hired executive officers into our management team and our ability to develop an effective working relationship among senior management. Our failure to integrate these individuals and create effective working relationships among them and other members of management could result in inefficiencies in the development and commercialization of our product candidates, harming future marketing approvals, sales of our product candidates and our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employees, independent contractors, principal investigators, CROs, consultants, vendors and collaboration partners may engage in misconduct or other improper activities, including noncompliance with regulatory standards and requirements.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exposed to the risk that our employees, independent contractors, principal investigators, CROs, consultants, vendors and collaboration partners may engage in fraudulent conduct or other illegal activity. Misconduct by these parties could include intentional, reckless and/or negligent conduct or unauthorized activities that violate: (i) FDA, the national competent authorities of individual EU Member States, or comparable foreign regulations, including those laws that require the reporting of true, complete and accurate information to the FDA, EMA, or other comparable foreign regulatory authorities; (ii) manufacturing standards; (iii) U.S. federal and state fraud and abuse and other healthcare laws and regulations, including foreign requirements; or (iv) laws that require the reporting of true and accurate financial information and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or falsification of clinical trial data, which could result in regulatory sanctions and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possible exclusion from participation in Medicare, Medicaid and other U.S. federal or non U.S. healthcare programs, imprisonment, contractual damages, reputational harm, diminished profits and future earnings, and curtailment of our operations, any of which could adversely affect our ability to operate our business and our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U.S. and international trade policies, particularly with respect to China, may adversely impact our business and operating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U.S. government has recently made statements and taken certain actions that may lead to potential changes to U.S. and international trade policies, including imposing several rounds of tariffs and export control and sanctions restrictions affecting certain products manufactured in China. Both China and the United States have each imposed tariffs indicating the potential for further trade barriers, including the U.S. Commerce Department adding numerous Chinese entities to its Unverified List, which requires U.S. exporters to go through more procedures before exporting goods to such entities. It is unknown whether and to what extent new tariffs, export controls, or other new laws or regulations will be adopted, or the effect that any such actions would have on us or our industry. For example, in December 2025, the National Defense Authorization Act (“NDAA”) for Fiscal Year 2026 was enacted, which includes Section 851, commonly referred to as the “BIOSECURE Act.” The BIOSECURE Act restricts U.S. government agencies from procuring certain biotechnology equipment or services from, or entering into contracts with, entities that use biotechnology equipment or services from designated “biotechnology companies of concern,” which include WuXi AppTec and WuXi Biologics, or collectively WuXi, and from expending certain federal loan or grant funds for such equipment or services. While the BIOSECURE Act is primarily directed at U.S. government procurement and funding and has not yet been fully implemented through final regulations, there remains a continued policy interest in limiting U.S. companies’ relationships with biotechnology providers with relationships with foreign adversaries. The potential downstream adverse impacts on entities having only commercial relationships with any impacted biotechnology providers is unknown but may include supply chain disruptions or delays. Sustained uncertainty about or further escalating trade and political tensions between the U.S. and China may prevent or hinder the export of materials or technical information among us, our contract development and manufacturing organizations (“CDMOs”) and other relevant third parties, such as pharmaceutical partners, or could result in trade or retaliatory restrictions that may hinder or potentially inhibit our ability to rely on CDMOs and other service providers that operate in China. Further, regulatory or legislative action taken by the U.S. to impose restrictions on transactions with China, like the restrictions described above, could have the potential to severely restrict the ability of companies like ours to contract with Chinese biotechnology companies of concern, which could have adverse effects on the development of our product candidates and our business operations. See the risk factor titled “Risks Related to Government Regulatory and Legal Requirements—We rely on third-party manufacturers, CROs, CMOs, and suppliers to supply, develop and test components of our product candidates. The loss of our third-party manufacturers, CROs, CMOs, or suppliers, their failure to comply with applicable regulatory requirements or to supply sufficient quantities at acceptable quality levels or prices, or at all, or changes in methods of product candidate manufacturing, development or formulation would materially and adversely affect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unfavorable government policies on international trade, such as export controls, economic, sanctions, capital controls or tariffs, may increase the cost of manufacturing our product candidates and platform materials, affect our ability to commercialize our product candidates if approved, the competitive position of our product candidates, and import or export of raw materials and finished product candidate used in our preclinical studies and clinical trials, particularly with respect to any product candidates and materials that we import from China, including pursuant to our service arrangements with WuXi. If any new tariffs, export controls, sanctions, legislation and/or regulations are implemented, or if existing trade agreements are renegotiated or, in particular, if either the U.S.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Chinese government takes retaliatory trade actions due to the recent trade tensions, such changes could have an adverse effect on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Clinical trial and product liability lawsuits against us could divert our resources, could cause us to incur substantial liabilities and could limit commercialization of any product candidates we may develop.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face an inherent risk of clinical trial and product liability exposure related to the testing of any product candidates we may develop in clinical trials, and we will face an even greater risk if we commercially sell any products that we may develop. While we currently have not completed the evaluation of any product candidates in human clinical trials or that have been approved for commercial sale, the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decreased demand for any product candidates that we may develop;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withdrawal of clinical trial participants and inability to continue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recalls, withdrawals or labeling, marketing or promotional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of revenue;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 monetary awards to trial participants or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time and costs to defend any related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diversion of our management’s time and our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exhaustion of any available insurance and our capital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initiation of investigations by regulators;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inability to commercialize any product candidates that we may develop;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injury to our reputation and significant negative media attention;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decline in price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continue to commence clinical trials or if we commence commercialization of any product candidates, we may seek to increase our insurance coverage. Insurance coverage is increasingly expensive. We may not be able to maintain insurance coverage at a reasonable cost or in an amount adequate to satisfy any liability that may arise. If and when coverage is secured, our insurance policies may also have various exclusions and we may be subject to a product liability claim for which we have no coverage. Even if our agreements with any future corporate collaborators entitle us to indemnification against losses, such indemnification may not be available or adequate should any claim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 Under certain environmental laws, we could be held responsible for costs relating to any contamination at our current or past facilities and at third-party facilities.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future ability to utilize our net operating loss carryforwards and certain other tax attributes may be limited.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our inception, we have incurred losses and we may never achieve profitability. As of December 31, 2025, we had $45.8 million of federal net operating loss (“NOL”) carryforwards and $77.9 million of state NOL carryforwards, available to reduce future taxable income. To the extent that we continue to generate taxable losses, under current law, our unused U.S. NOLs may be carried forward to offset a portion of future taxable income, if any. Additionally, we continue to generate business tax credits, including research and development tax credits, which generally may be carried forward to offset a portion of future taxable income, if any, subject to expiration of such credit carryforwards. Under Sections 382 and 383 of the Internal Revenue Code of 1986, as amended (“Code”), if a corporation undergoes an “ownership change,” generally defined as one or more stockholders or groups of stockholders who own at least 5% of the corporation’s equity increasing their equity ownership in the aggregate by more than 50 percentage points (by value) over a three-year period, the corporation’s ability to use its pre-change NOLs and other pre-change tax attributes (such as research and development tax credits) to offset its post-change income or taxes may be limited. Similar rules may apply under state tax laws. Our prior equity offerings and other changes in our stock ownership may have resulted in such ownership changes in the past. In addition, we may experience ownership changes in the future due to shifts in our stock ownership, some of which are outside of our control. As a result, if we earn net taxable income, our ability to use our pre-change NOLs or other pre-change tax attributes to offset U.S. federal taxable income may be subject to limitations, which could potentially result in increased future tax liability to us and could require us to pay U.S. federal income taxes earlier than would be required if such limitations were not in effect. There is a risk that due to changes under the tax law, regulatory changes or other unforeseen reasons, our existing NOLs or business tax credits could expire or otherwise be unavailable to offset future income tax liabilities. At the state level, there may also be periods during which the use of NOLs or business tax credits is suspended or otherwise limited, which could accelerate or permanently increase state taxes owed. For example, under Senate Bill 167 enacted by California in June 2024, generally, there is a suspension of the NOL deduction for tax years beginning on or after January 1, 2024, and before January 1, 2027 for individual and corporate taxpayers with net business income or modified adjusted gross income of $1 million or more, and a limit of $5 million of business credits on the aggregate use of otherwise allowable business tax credits that any individual or corporate taxpayer could claim for tax years beginning on or after January 1, 2024, and before January 1, 2027. For these reasons, we may not be able to realize a tax benefit from the use of our NOLs or tax credits, even if we attain profitability.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have and may in the future engage in strategic transactions that could impact our liquidity, increase our expenses and present significant distractions to our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and in the future, we may consider strategic transactions, such as acquisitions of companies, asset purchases, and in-licensing or out-licensing of products, product candidates or technologies from time to time.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senior management or business, which could adversely affect our operations and financial results. For example, these transactions may entail numerous operational and financial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up-front, milestone and royalty payments, equity investments and financial support of new research and development candidates including increase of personnel, all of which may be substantial;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exposure to unknown liabilities, including potential indemnification claims from a potential spin-off or out-license of certain of our intellectual property rights;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disruption of our business and diversion of our management’s time and attention to develop acquired products, product candidates or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incurrence of substantial debt or dilutive issuances of equity securities to pay for acquisitions;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higher than expected costs in risk-sharing collaborations;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higher-than-expected acquisition and integration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lower-than-expected benefits, from out-licensing or selling our technology or intellectual property or from in-licensing intellectual property or purchasing assets;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write-downs of assets or goodwill or impairment charges;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difficulty and cost in combining or separating the operations and personnel of any acquired or sold businesses with our existing operations and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disagree with our strategic partners about decisions affecting the business, which could result in litigation or arbitration that increases our expenses, distracts our officers and directors and disrupts the day-to-day operations of the strategic venture, including by delaying important decisions until the dispute is resolved;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strategic partners may take actions that we oppose;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strategic partners might experience financial distress or become bankrupt;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impairment of relationships with key suppliers or customers of any acquired or sold businesses due to changes in our senior management and ownership;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retain key employees of any acquired businesses.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the extent we enter into a strategic transaction that includes ongoing operations or shared ownership and management, our strategic partners may take actions that we oppose or we may disagree with our strategic partners about decisions affecting the business, which could result in litigation or arbitration, distract our officers and directors and otherwise disrupt the day-to-day operations of our business and the business of the strategic partner or entity. Furthermore, to the extent that our directors and officers serve on the boards of our strategic partners, such directors may be required to abstain from board decision-making in the event of a conflict of interest.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Accordingly, although we cannot be certain that we will undertake or successfully complete any transactions of the nature described above, any transactions that we do complete may be subject to the foregoing or other risks, and could harm our business, results of operations, financial condition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have conducted and may continue to conduct, clinical trials for our product candidates outside of the United States, and we may do so for our other product candidates. However, conducting trials outside of the United States exposes us to additional risks, which could materially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conducted, and may in the future conduct, certain of our clinical trials at centers outside of the United States. The acceptance of study data from clinical trials conducted outside the United States or another jurisdiction by the FDA or another comparable foreign regulatory authority may be subject to certain conditions or may not be accepted at all. For example,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 conducted outside for the United States or the applicable jurisdiction, and the FDA has discussed proposals to increase user fees for marketing applications containing certain foreign clinical data. If the FDA, the EMA, the U.K. Medicines and Healthcare products Regulatory Agency, or other foreign regulatory authorities do not accept any data generated from other jurisdictions, we would likely be required to conduct additional clinical trials, which would be costly and time consuming, and delay aspects of our development plan, which could harm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Conducting trials outside the United States also exposes us to additional risks, including risks associated with: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 foreign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exchange fluctuations;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foreign manufacturing, customs, shipment and storage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cultural differences in medical practice and clinical research;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diminished protection of intellectual property in some countries;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interruptions or delays in our trials resulting from geopolitical events, such as war or terrorism.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our information systems or data, or those of third parties with whom we work, are or were compromised, we could experience adverse consequences from such compromises, such as damage to our reputation, significant financial and legal exposure, or other adverse effects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information technology systems that we or third parties with whom we work, operate to process, transmit and store electronic information, including sensitive information, in our day-to-day operations. For example, in connection with our product development efforts, we may collect and process a variety of personal data, proprietary information, trade secrets, and clinical trial information. As a result, we and the third parties with whom we work, face a variety of evolving threats that could cause cybersecurity incidents, data breaches, or other adverse security events.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Cyberattacks, malicious internet-based activity, online and offline fraud, and other similar activities could result in the theft or destruction of intellectual property, personal data, or other misappropriation of assets, or otherwise threaten to compromise our confidential or proprietary information and disrupt our operations. Attempts to disrupt or gain unauthorized access to our and our third-party vendors’ information systems from malicious third parties or insider threats may incorporate widely varying and frequently changing tactics, which may be enhanced or facilitated by artificial intelligence (“AI”). Such threats are increasing in their frequency, sophistication, and intensity, have become increasingly difficult to detect, and come from a variety of sources, including traditional computer “hackers,” threat actors, “hacktivists,” organized criminal threat actors, intentional or inadvertent wrongful conduct by personnel and vendors (such as through human error,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wrongful conduct by hostile foreign governments and industrial espionage.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and the third parties with whom we work are subject to a variety of evolving threats, including but not limited to the deployment of harmful malware (including as a result of advanced persistent threat intrusions), ransomware, denial-of-service, credential stuffing, credential harvesting, social engineering fraud (including through deep fakes, which may be increasingly more difficult to identify as fake, and phishing attacks), malicious code (such as viruses and worms), personnel misconduct or error, ransomware attacks, supply-chain attacks, software bugs, server malfunctions, software or hardware failures, loss of data or other information technology assets, adware, attacks enhanced or facilitated by evolving technologies, such as AI, telecommunications failures, earthquakes, fires, floods, and other similar threats.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there can be no assurance that our efforts will prevent information cybersecurity incidents or data breaches that would result in business, legal, financial or reputational harm to us, or would have a material adverse effect on our results of operations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or integrated entities’ systems and technologies. Furthermore, we may discover security issues or other constraints not found during due diligence of such acquired or integrated entities, creating additional challenges to integrate said information systems into our information technology environment and security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Like other companies in our industry, we, and our third party vendors, have experienced threats and cybersecurity incidents relating to our information technology systems and infrastructure. While we have implemented security measures designed to protect against cybersecurity incidents and data breaches, there can be no assurance that these measures will be effective. We take steps designed to detect, mitigate, and remediate known vulnerabilities in our information systems (such as our hardware and/or software, including that of third parties with whom we work). We may not, however, detect and remediate all such vulnerabilities on a timely basis for various reasons including but not limited to the impact on the functional operations of affected information systems or the availability of a solution for the impacted technology. While remedial measures and/or patches designed to address identified vulnerabilities are being developed and/or implemented, these vulnerabilities could be exploited and result in a cybersecurity incident or data breach.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Applicable data privacy and security obligations may require us to notify relevant stakeholders, including affected individuals, customers, regulators, and investors, of cybersecurity incidents and data breaches. Such disclosures are costly, and the disclosure or the failure to comply with such requirements could lead to adverse consequences. Additionally, laws in all 50 states require businesses to provide notice to customers whose personal data has been disclosed as a result of a data breach. These laws are not consistent, and compliance in the event of a widespread cybersecurity incident or data breach is difficult and may be costly. We also may be contractually required to notify patients or other counterparties of a cybersecurity incident or data breach. Although we may have contractual protections with our service providers, any actual or perceived cybersecurity incident or data breach could harm our reputation and brand, expose us to potential liability or require us to expend significant resources on data security and in responding to any such actual or perceived cybersecurity incident or data breach. Any contractual protections we may have from our service providers may not be sufficient to adequately protect us from any such liabilities and losses, and we may be unable to enforce any such contractual protections. In addition to government regulation, privacy advocates and industry groups have and may in the future propose self-regulatory standards from time to time. These and other industry standards may legally or contractually apply to us, or we may elect to comply with such standards. Determining whether personal data has been handled in compliance with applicable privacy standards and our contractual obligations can be complex and may be subject to changing interpretation. Any failure, or perceived failure, to prevent or mitigate cybersecurity incidents, data breaches or other improper access to, use of, or disclosure of our clinical data or patients’ personal data could result in significant liability under state (e.g., state breach notification laws), federal (e.g., Health Insurance Portability and Accountability Act of 1996), and foreign (e.g., the GDPR) laws, and may cause a material adverse impact to our reputation, affect our ability to conduct new studies and potentially disrupt our business, results of operations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maintain insurance coverage, we cannot assure that such coverage will be adequate or otherwise protect us from or adequately mitigate liabilities or damages with respect to claims, costs, expenses, litigation, fines, penalties, business loss, data loss, regulatory actions or material adverse effects arising out of our data protection, privacy, and security practices, or that such coverage will continue to be available on acceptable terms or at all.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reliance on the computer systems of various third parties with whom we work, including our CROs and other contractors, introduce new cybersecurity risks and vulnerabilities, including supply-chain attacks, and other threats to our business operations. We rely on our third-party partners to implement effective security measures and identify and correct for any such failures, deficiencies, cybersecurity incidents or data breaches. However, our ability to monitor these third parties’ information security practices is limited, and these third parties may not have adequate information security measures in place. Any failure by such third parties to prevent or mitigate cybersecurity incidents, data breaches or other improper access to or disclosure of such information could have similarly adverse consequences for us.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have not been compromised.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experiencing a cybersecurity incident or data breach, third parties may gather, collect, or infer sensitive data about us from public sources, data brokers, or other means that reveals competitively sensitive details about our organization and could be used to undermine our competitive advantage or market position. Additionally, sensitive data of the Company could be leaked, disclosed, or revealed as a result of or in connection with our employees’, personnel’s, or vendors’ use of generative AI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the previously identified or similar threats could cause a cybersecurity incident, data breach, or other interruption that could result in unauthorized, unlawful, or accidental acquisition, modification, destruction, loss, alteration, encryption, disclosure of,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access to our sensitive data or our information technology systems, or those of the third parties with whom we work. A cybersecurity incident, data breach, or other interruption could disrupt our ability (and that of third parties with whom we work) to provide our services.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Government Regulatory and Legal Requirements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Disruptions at the FDA, SEC and other U.S. government agencies caused reduction in staffing, by funding shortages or global health concerns could hinder their ability to hire, retain or deploy key leadership and other personnel, or otherwise prevent new or modified products from being developed, approved or commercialized in a timely manner or at all, or otherwise prevent those agencies from performing normal business functions on which the operation of business may relay, which could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Federal agencies in the U.S., including the FDA, the SEC and other comparable regulatory authorities, operate pursuant to annual appropriations and other political and budgetary processes, and may from time to time be subject to continuing resolutions, funding lapses, or other fiscal constraints. Currently, although the FDA and many other federal agencies have funding sufficient to continue their activities through September 30, 2026, the timing and amount of future funding is unpredictable. Without appropriation of sufficient funding to federal agencies, our business operations related to our product development activities for the U.S. market could be impacted. The ability of the FDA, EMA, and other comparable regulatory authorities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or other comparable regulatory authorities’ ability to perform routine functions. Average review times at the FDA and other comparable regulatory authorities have fluctuated in recent years and may continue to fluctuate as a result of these factors. In addition, government funding of the SEC and other U.S. government agencies on which our operations may rely, including those that fund research and development activities, is subject to the political process, including executive and congressional priorities, which is inherently fluid and unpredictable. For example, the Trump Administration has issued executive orders seeking to greatly reduce the size of the federal workforce, including through layoffs and severance packages offered to employees of federal agencies within the executive branch and independent agencies, including the FDA. Any such reduction in personnel may result in longer review times by the FDA and other agencies.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Disruptions at the FDA, the SEC and other agencies, including as a result of substantial leadership changes, personnel cuts, policy changes or otherwise, may also slow the time necessary for new drugs to be reviewed and/or approved by necessary government agencies, which would adversely affect our business. Changes and cuts in FDA staffing have been reported by some in the pharmaceutical industry as creating delays in the FDA’s responsiveness or in its ability to review submissions or applications, issue regulations or guidance, or implement or enforce regulatory requirements in a timely fashion or at all.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Over the last several years, including from October 1, 2025 to November 12, 2025, the U.S. government shut down several times and certain regulatory agencies, such as the FDA and the SEC, have had to furlough critical employees and cease critical activities.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 prolonged government shutdown occurs again, or a widespread freeze on federal funding occurs in the future or if global health concerns or staffing changes prevent the FDA, SEC, EMA, or other comparable foreign regulatory authorities from conducting their regular inspections, reviews, or other regulatory activities, including formal and informal interactions with product developers, it could significantly impact the ability of the FDA, SEC, EMA, or other such comparable foreign regulatory authorities to timely review and process our regulatory submissions, which could have a material adverse effect on our business. Further, in our operations as a public company, future government shutdowns and/or substantial leadership, personnel, and policy changes at the SEC could impact our business by delaying review of our public filings, which in turn could delay or frustrate our ability to access the public markets and obtain necessary capital in order to properly capitalize and continue our operations or delay the review or effectiveness of required regulatory or securities filings.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not be able to obtain orphan drug designation or exclusivity for our product candidates for which we seek such a designation or exclusivity, and even if we do, that designation may not provide an expedited development or regulatory review or approval process and any orphan drug exclusivity we may receive for approved products may not prevent the FDA or the EMA from approving other competing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Orphan Drug Act, the FDA may designate a product candidate as an orphan drug if it is intended to treat a rare disease or condition. A similar regulatory scheme governs the designation of orphan product candidates by the EMA in the EU. Generally, if a product with an orphan drug designation subsequently receives the first regulatory approval for the indication for which it has such designation, the product is entitled to a period of marketing exclusivity, which precludes the FDA or the EMA (as applicable) from approving another marketing authorization application for another similar product candidate for the same orphan therapeutic indication for that time period. The applicable period is seven years in the United States and ten years in the EU (which can be extended to 12 years if the sponsor complies with an agreed-upon pediatric investigation plan). The exclusivity period in the EU can be reduced to six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years if at the end of the fifth year it is determined that a product no longer meets the criteria for orphan designation, including if the product is sufficiently profitable so that market exclusivity is no longer justified.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order for the FDA to grant orphan drug exclusivity to one of our product candidates, the agency must find that the product candidate is indicated for the treatment of a condition or disease that affects fewer than 200,000 individuals in the United States or that affects 200,000 or more individuals in the United States and for which there is no reasonable expectation that the cost of developing and making the product candidate available for the disease or condition will be recovered from sales of the product in the United States. Hypoparathyroidism is a disease that affects approximately 70,000 individuals in the United States, and accordingly, any product candidate we advance forward in development for hypoparathyroidism may qualify for orphan drug designation. However, the FDA may conclude that the condition or disease for which we seek orphan drug exclusivity does not meet this standard. In the EU, a medicinal product may be designated as orphan if (1) it is intended for the diagnosis, prevention or treatment of a life-threatening or chronically debilitating condition; (2) either (a) such condition affects no more than five in 10,000 persons in the EU when the application is made, or (b) it is unlikely that the product, without the benefits derived from orphan status, would generate sufficient return in the EU to justify the necessary investment in its development; and (3) there exists no satisfactory method of diagnosis, prevention or treatment of such condition authorized for marketing in the EU, or if such a method exists, the product will be of significant benefit to those affected by the condition. Even if we obtain orphan drug exclusivity for a product candidate, that exclusivity may not effectively protect the product candidate from competition because different product candidates can be approved for the same condition. In addition, even after an orphan drug is approved, the FDA or the EMA can subsequently approve the same product candidate for the same condition if the FDA or EMA (as applicable) concludes that the later product candidate is clinically superior in that it is shown to be safer, more effective or makes a major contribution to patient care compared with the product that has orphan exclusivity.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While we may in the future seek designations for our product candidates with the FDA, EMA and other comparable foreign regulatory authorities that are intended to confer benefits such as a faster development process, an accelerated regulatory pathway or regulatory exclusivity, there can be no assurance that we will successfully obtain such designations. In addition, even if one or more of our product candidates are granted such designations, we may not be able to realize the intended benefits of such designations.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EMA, and other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our product candidates. In addition, while such designations could expedite the development or approval process, they generally do not change the standards for approval. Even if we obtain such designations for our product candidates, there can be no assurance that we will realize their intended benefits.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we may seek a Fast Track Designation for one or more of our product candidates. 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and a Fast Track Designation does not make approval more likely to occur. The FDA may rescind the Fast Track Designation if it believes that the designation is no longer supported by data from our clinical development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EU, we may seek to participate in the PRIority MEdicines (“PRIME”) scheme for our potential product candidates. The PRIME scheme is intended to encourage development of product candidates in areas of unmet medical need and provides accelerated assessment of product candidates representing substantial innovation, where the marketing authorization application will be made through the centralized procedure in the EU. Eligible products must target conditions for which there is an unmet medical need (i.e. no treatment option exists in the EU or the applicable product candidate can offer a major therapeutic advantage over existing treatments). Many benefits accrue to sponsors of product candidates with access to the PRIME scheme, including but not limited to, early and proactive regulatory dialogue with the EMA, frequent discussions on clinical trial designs and other development program elements, and the possibility of accelerated assessment of a marketing authorization application once a dossier has been submitted. There is no guarantee, however, that our potential product candidate would be deemed eligible for the PRIME scheme and even if we do participate in the PRIME scheme, where during the course of development a product no longer meets the eligibility criteria, support under the PRIME scheme may be withdrawn. PRIME eligibility does not change the standards for product approval, and there is no assurance that any such designation or eligibility will result in expedited review or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seek Breakthrough Therapy Designation for one or more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Designation as a breakthrough therapy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any product candidate we develop qualifies as a breakthrough therapy, the FDA may later decide that the drug no longer meets the conditions for qualification and rescind the designation.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in the absence of obtaining Fast Track and/or Breakthrough Therapy Designations, a sponsor can seek priority review at the time of submitting a marketing application. The FDA may designate a product for priority review if it is a product that treats a serious condition and, if approved, would provide a significant improvement in safety or effectiveness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Priority review designation may be rescinded if a product no longer meets the qualifying criteria.</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Where appropriate, we may secure approval from the FDA, EMA, or other comparable foreign regulatory authorities through the use of expedited approval pathways, such as accelerated approval. If we are unable to obtain such approvals, we may be required to conduct additional preclinical studies or clinical trials beyond those that we contemplate, which could increase the expense of obtaining, and delay the receipt of, necessary marketing approvals. Even if we receive accelerated approval from the FDA, EMA, or other comparable foreign regulatory authorities, if our confirmatory trials do not verify clinical benefit, or if we do not comply with rigorous post-marketing requirements, the FDA, EMA, or other comparable foreign regulatory authorities may seek to withdraw the accelerated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Where possible, we plan to pursue accelerated development strategies in areas of high unmet need. We may seek an accelerated approval pathway for our one or more of our product candidates from the FDA, EMA, or other comparable foreign regulatory authorities.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Under FDORA, the FDA is permitted to require, as appropriate, that a post-approval confirmatory study or studies be underway prior to approval or within a specified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status updates on such studies to the FDA every 180 days to be publicly posted by the agency, or if such post-approval studies fail to verify the drug’s predicted clinical benefit. The FDA is empowered to take action, such as issuing fines, against companies that fail to conduct with due diligence any post-approval confirmatory study or submit timely reports to the agency on their progress.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Prior to seeking accelerated approval, we would seek feedback from the FDA, EMA, or other comparable foreign regulatory authorities and would otherwise evaluate our ability to seek and receive such accelerated approval. There can be no assurance that after our evaluation of the feedback and other factors we will decide to pursue or submit an NDA or BLA for accelerated approval or any other form of expedited development, review or approval. Similarly, there can be no assurance that after subsequent feedback from the FDA, EMA, or other comparable foreign regulatory authorities, we will continue to pursue or apply for accelerated approval or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form of expedited development, review or approval, even if we initially decide to do so. Furthermore, if we decide to submit an application for accelerated approval, there can be no assurance that such application will be accepted or that any approval will be granted on a timely basis, or at all. The FDA, EMA, or other comparable foreign regulatory authorities could also require us to conduct further studies prior to considering our application or granting approval of any type, including, for example, if other products are approved via the accelerated pathway and subsequently converted by FDA to full approval.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stringent and evolving U.S. and foreign laws, rules, regulations, policies, industry standards, contractual requirements, and other obligations related to data protection, privacy, and security. Our actual or perceived failure to comply with such obligations could adversely affect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various data protection, privacy, and security laws, rules, regulations, policies, industry standards, contractual requirements, and other obligations that apply to our collection, transmission, storage, use, disclosure, transfer, maintenance and other processing of sensitive information, including personal data. The legislative and regulatory landscape for data protection, privacy, and security continues to evolve across jurisdictions worldwide. For example, in the United States, federal, state, and local governments have enacted numerous data protection, privacy, and security laws, including data breach notification laws, personal data privacy laws, consumer protection laws (e.g., Section 5 of the Federal Trade Commission Act), and other similar laws (e.g., wiretapping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At the federal level, regulations promulgated pursuant to the Health Insurance Portability and Accountability Act of 1996 (“HIPAA”), as amended by the Health Information Technology for Economic and Clinical Health Act, and implementing regulations, establish stringent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Further, failing to take appropriate steps to keep consumers’ personal information secure may constitute unfair acts or practices in or affecting commerce in violation of Section 5(a) of the Federal Trade Commission (“FTC”)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Regulators and legislators in the U.S. are also increasingly scrutinizing and restricting certain personal data transfers and transactions involving foreign countries. For example, the Department of Justice’s January 8, 2025, rule on “Preventing Access to U.S. Sensitive Personal Data and Government-Related Data by Countries of Concern or Covered Persons,” prohibits data brokerage and data sharing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Data protection, privacy, and security obligations remain an evolving landscape at both the domestic and foreign level, with new laws, rules and regulations coming into effect, posing continued legal and compliance challenges. For example, as of January 2026, twenty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conduct our operations. Certain states also impose stricter requirements for processing certain personal data, including sensitive information, such as conducting data privacy impact assessments. These state laws allow for statutory fines for noncompliance. For example, in California, the California Consumer Privacy Act, as amended by the California Privacy Rights Act (collectively, “CCPA”), provides for fines of up to $7,500 per intentional violation and allows privacy litigants affected by certain data breaches to recover significant statutory damages. The CCPA and other comprehensive U.S. state privacy laws exempt some data processed in the context of clinical trials, but these developments may further complicate compliance efforts, and increase legal risk and compliance costs for us, the third parties with whom we work.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existence of comprehensive privacy laws in different states adds additional complexity, variation in requirements, processing restrictions and potential legal risk, requiring additional investment of resources in our compliance programs. These laws may also impact our business strategies, result in increased compliance costs and/or changes to our business practices and policies and increase the likelihood that we may be subject to enforcement actions or otherwise incur liability for noncompliance.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Several states are also specifically regulating consumer health information. For example, Washington has enacted a consumer health privacy law, the My Health My Data Act (“WMHMDA”), which went into effect on March 31, 2024 and regulates the collection and sharing of consumer health information. WMHMDA places restrictions on processing consumer health data (including imposing stringent requirements for consents), provides consumers certain rights with respect to their health data, and creates a private right of action to allow individuals to sue for violations of the law,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including Illinois and Texas, have passed laws that regulate biometric data specifically. These various privacy and security laws may impact our business activities, including our identification of research subjects, relationships with business partners and ultimately the marketing and distribution of our products. State laws are changing rapidly and there have been discussions in the U.S. Congress of new comprehensive federal data privacy laws to which we could become subject to, if enacted.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govern data protection, privacy, and security. For example, if we conduct clinical trials in the European Economic Area (“EEA”) and/or the United Kingdom (“U.K.”), we may become subject to additional privacy laws in those jurisdictions, such as the EU General Data Protection Regulation (“EU GDPR”) and the EU GDPR as incorporated into the laws of the U.K (“U.K. GDPR” and, together with the EU GDPR, “GDPR”), both of which impose strict requirements for processing personal data. The GDPR is wide-ranging in scope and imposes numerous requirements on companies that process personal data, including requirements relating to having a legal basis or condition for processing personal data, stricter requirements relating to the processing of sensitive data (such as health data), where required by the GDPR obtaining consent of the individuals to whom the personal data relates, providing information to individuals regarding data processing activities, implementing safeguards to protect the security and confidentiality of personal data, providing notification of data breaches, requiring data protection impact assessments for high risk processing and taking certain measures when engaging third-party processors.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GDPR, data protection authorities may impose large penalties for violations of the GDPR, including potential fines of up to €20 million (£17.5 million GBP)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Non-compliance could also result in the imposition of orders to stop data processing activities, which could have a material adverse effect on our business, financial position,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be unable to transfer personal data from the EEA, U.K., and other jurisdictions to the U.S. or other countries due to data localization requirements or limitations on cross-border data flows. Although there are various mechanisms that may be used in some cases to lawfully transfer personal data to the U.S. or other countries, these mechanisms are subject to legal challenges and may not always be available to us. For example, the GDPR requires certain adequate safeguards to enable the transfer of personal data outside of the EEA or the U.K., in particular to the U.S., such as the EU standard contractual clauses, U.K. International Data Transfer Addendum/Agreement, and the EU-U.S. Data Privacy Framework (“Framework”) and the U.K. extension thereto (which allows for transfers to relevant U.S.-based organizations who self-certify compliance and participate in the Framework). However, these mechanisms are subject to legal challenges, and there is no assurance that we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Although the U.K. is regarded as a third country under the EU GDPR, the European Commission has issued a decision recognizing the U.K. as providing adequate protection under the EU GDPR, or the Adequacy Decision, and, therefore, transfers of personal data originating in the EEA to the U.K. remain unrestricted. In December 2025, the European Commission adopted a decision to extend the validity of the U.K. Adequacy Decision for six years until December 2031, determining that the U.K. continues to offer a level of data protection that is “essentially equivalent” to the EU standards. This follows the U.K.’s adoption of the Data (Use and Access) Act 2025 (the “DUAA”) on June 19, 2025. The U.K. government has confirmed that personal data transfers from the U.K. to the EEA remain free flowing. The respective provisions and enforcement of the EU GDPR and U.K. GDPR may further diverge in the future and create additional regulatory challenges and uncertainties.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U.K. and the EEA.</w:t>
      </w:r>
    </w:p>
    <w:p>
      <w:pPr>
        <w:pStyle w:val="TextBody"/>
        <w:bidi w:val="0"/>
        <w:jc w:val="both"/>
        <w:rPr>
          <w:rFonts w:ascii="Times New Roman" w:hAnsi="Times New Roman"/>
          <w:color w:val="000000"/>
          <w:sz w:val="20"/>
        </w:rPr>
      </w:pPr>
      <w:r>
        <w:rPr>
          <w:rFonts w:ascii="Times New Roman" w:hAnsi="Times New Roman"/>
          <w:color w:val="000000"/>
          <w:sz w:val="20"/>
        </w:rPr>
        <w:t xml:space="preserve">In the EEA, the NIS 2 Directive (“NIS 2”) is replacing the cybersecurity legal framework under the current NIS framework, aiming to ensure a high level of cybersecurity in the region. NIS 2 brings new medium and large organizations providing services in the EEA within scope of the legal framework. It extends to additional sectors and expands the list of in-scope healthcare organizations, including to certain providers engaged in research and development of medicinal products. The new regime imposes direct obligations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management in respect of an in-scope organization's compliance with NIS 2, requires covered organizations to put in place certain cyber risk management measures, strengthens incident reporting requirements and provides supervisory authorities with a greater oversight. The majority of obligations will come into force when national legislation implementing NIS 2 becomes effective in the relevant EU Member State. EU Member States had until October 17, 2024 to transpose NIS 2 into national legislation, although many countries have still not completed the transposition. As such, the cybersecurity regulatory landscape in the EU is currently fragmented and uncertain. To the extent we are subject to NIS 2, we will require additional investment of our resources in compliance programs. Under NIS 2 companies may be subject to administrative fines of up to the higher amount of €10 million or 2% of worldwide turnover.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if we fail, or are perceived to have failed, to comply with applicable data protection, privacy, and security laws, including applicable HIPAA privacy and security standards, we could face significant administrative, civil and criminal penalties. For example, HHS has the discretion to impose significant penalties, and such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data protection, privacy, or security of the personal data of state residents. We cannot be sure how these laws, rules and regulations will be interpreted, enforced, or applied to our operations. In addition to the risks associated with enforcement activities and potential contractual liabilities, our ongoing efforts to comply with evolving laws, rules and regulations at the international, federal and state level may be costly and require ongoing modifications to our policies, procedures and systems.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we rely on certain third-party vendors to process certain confidential, sensitive, or personal data on our behalf. Failure by us or our third-party vendors to comply with any of these laws, rules, regulations, contractual requirements, industry standards, or other obligations could result in notification obligations, enforcement actions, regulatory investigations or inquiries, significant fines, imprisonment of company officials and public censure, litigation and claims for damages by affected individuals, customers or business partners, damage to our reputation and loss of goodwill, any of which could have a material adverse effect on our business, financial condition, results of operations or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employees and personnel use generative artificial intelligence technologies to perform their work, and the disclosure and use of personal data in generative artificial intelligence technologies is subject to various privacy laws and other privacy obligations.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use of new and evolving technologies, such as artificial intelligence, may present risks and challenges that can impact our business, including by posing cybersecurity and other risks to our confidential and/or proprietary information, including personal information, and as a result we may be exposed to reputational harm and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and our third-party vendors, may use and integrate AI into our business processes both in our own development and implementation of AI as well as through the adoption of commercially available tools. Use of this technology could pose cybersecurity, data privacy, IT, intellectual property, regulatory, legal, operational, competitive, reputational and other risks and challenges that could affect our business. Specifically, risks related to accuracy, bias, AI hallucinations, discrimination, harmful content, misinformation, fraud, scams, targeted attacks (including model poisoning or data poisoning), surveillance, data leakage, inequality, environmental harms, and other harms may flow from our development, use, or deployment of AI technologies. If we enable or use solutions that draw controversy due to perceived or actual negative societal impact, we may also experience brand or reputational harm, competitive harm or legal liability.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growing number of legislators and regulators are adopting laws and regulations and have focused enforcement efforts on the adoption of AI, and use of such technologies in compliance with ethical standards and societal expectations. These developments may increase our compliance burden and costs in connection with use of AI and lead to legal liability if we fail to meet evolving legal standards or if use of such technologies results in harms or other causes of action we did not predict. For example, Europe began implementing its EU Artificial Intelligence Act (“AI Act”) on August 1, 2024, with a significant part of the law scheduled to come into effect in August 2026. As currently enacted, the AI Act, which may be amended as part of the EU’s Digital Omnibus, imposes significant obligations on providers and deployers of AI systems, and encourages providers and deployers of AI systems to account for EU ethical principles in their development and use of these systems. The scope of requirements depends on legal and risk determinations that rely on novel legal provisions that have not yet been interpreted by courts or regulators, and non-compliance can lead to significant fines.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U.S., the AI regulatory environment is complex and uncertain. Over the past year, states have advanced, and in some cases passed, dozens of laws focusing on AI governance and regulation, including on deployment of AI in healthcare settings. At the federal level, the Trump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In addition, various federal regulators have issued guidance and focused enforcement efforts on the use of AI in regulated sectors. The FDA, for example, issued guidance on the use of AI in medical devices, requiring detailed risk management and review processes to obtain approvals. If we develop or use AI systems governed by these laws or regulations, we will need to meet higher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rapid evolution of AI will require the application of significant resources to design, develop, test and maintain such systems to help ensure that AI is implemented in accordance with applicable law and regulation and in a socially responsible manner and to minimize any real or perceived unintended harmful impacts. The use of certain AI technologies can also give rise to intellectual property risks, including by disclosing or otherwise compromising our confidential or proprietary intellectual property, or by undermining our ability to assert or defend ownership rights in intellectual property created with the assistance of AI tools.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our vendors. Any of these effects could damage our reputation, result in the loss of valuable property and information, cause us to breach applicable laws and regulations, and adversely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these compliance and operational requirements impose significant costs, such as costs related to organizational changes, implementing additional protection technologies, training employees and engaging consultants and legal advisors, which are likely to increase over time. Our efforts to comply with the evolving data protection, privacy, AI and security laws, rules, regulations, and other obligations may be unsuccessful. We may need to devote significant resources to understanding and complying with this changing landscape. In addition, such requirements may require us to modify our data processing practices and policies, utilize management’s time and/or divert resources from other initiatives and projects. Any actual or perceived failure by us or our third-party partners to comply with such laws, rules, regulations, and other obligations regarding data protection, privacy, AI and security could result in significant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rules or regulations, government investigations into these issues typically require the expenditure of significant resources and generate negative publicity. Further, any of the foregoing could have a material adverse effect on our business, financial condition, results of operations or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the hardware, software, data and cloud computing platforms that we rely on may not continue to be available at reasonable prices, on commercially reasonable terms or at all. Any loss of the right to use any of these hardware, software, data or cloud computing platforms could significantly increase our expenses and disrupt or otherwise result in delays in the provisioning of our services until equivalent technology is either developed by us, or, if available, is identified, obtained through purchase or license and integrated into our services, and no assurance can be provided that such equivalent technology would be developed or obtained in a timely manner or at all. Moreover, as a result of the increasing use and deployment of AI technologies, infrastructure capacity requirements, including network capacity and, computing power and energy requirements, may increase which could lead to an increase in serve interruptions we experience.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Healthcare legislative reform measures may have a negative impact on our business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 For more information, see the section titled “Business–Government Regulation–Current and Future U.S. Healthcare Reform.”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2010, the Patient Protection and Affordable Care Act, as amended by the Health Care and Education Reconciliation Act was passed, which substantially changed the way healthcare is financed by both the government and private insurers, and significantly impacts the U.S. pharmaceutical industry.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continuing efforts of the government, insurance companies, managed care organizations and other payors of healthcare services to contain or reduce costs of healthcare may adversely affect: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demand for any of our product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set a price that we believe is fair for any of our product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generate revenues and achieve or maintain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level of taxes that we are required to pay;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capital.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Legislative and regulatory proposals have been made to expand post-approval requirements and restrict sales and promotional activities for pharmaceutical and biologic products. In addition,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August 2022, the Inflation Reduction Act of 2022 (“IRA”) was signed into law. The IRA includes several provisions that may impact our business, depending on how various aspects of the IRA are implemented. Provisions that may impact our business include a $2,000 out-of-pocket cap for Medicare Part D beneficiaries, the imposition of new manufacturer financial liability on most drugs in Medicare Part D, permitting the U.S. government to negotiate Medicare Part B and Part D pricing for certain high-cost drugs and biologics without generic or biosimilar competition, requiring companies to pay rebates to Medicare for drug prices that increase faster than inflation, and delay until January 1, 2032 the implementation of the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The effects of the IRA on our business and the healthcare industry in general is not yet known.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predict what healthcare reform initiatives may be adopted in the future. We expect that these and other healthcare reform measures that may be adopted in the future, may result in more rigorous coverage criteria and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relationships with customers, physicians, and third-party payors may be subject, directly or indirectly, to federal and state healthcare fraud and abuse laws, false claims laws, other healthcare laws and regulations and health data privacy and security laws and regulations, contractual obligations and self-regulatory schemes. If we are unable to comply, or have not fully complied, with such laws, we could face substantial penalties.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Healthcare providers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may subject us to various federal and state fraud and abuse laws and other healthcare laws, including, without limitation, the federal Anti-Kickback Statute, the federal civil and criminal false claims laws and the law commonly referred to as the Physician Payments Sunshine Act and regulations. These laws will impact, among other things, our clinical research, as well as our proposed sales and marketing programs. In addition, we may be subject to health information privacy and security laws by the federal government, the states and other jurisdictions in which we may conduct our business. For more information, see the section titled “Business–Government Regulation–Other Healthcare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of the breadth of these laws and the limited statutory exceptions and regulatory safe harbors available, it is possible that some of our business activities could be subject to challenge under one or more of such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operations are found to be in violation of any of these laws or any other governmental regulations that may apply to us, we may be subject to significant civil, criminal and administrative penalties, damages, fines, disgorgement,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Legislation or other changes in U.S. tax law may have a material adverse effect on our business, cash flow, financial condition, or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rules dealing with U.S. federal, state, and local income taxation are constantly under review by persons involved in the legislative process and by the Internal Revenue Service and the U.S. Treasury Department. For example, the One Big Beautiful Bill Act (“H.R.1”) was signed into law on July 4, 2025 and made significant changes to U.S. federal tax law. Changes to tax laws (which changes may have retroactive application) could adversely affect us or holders of our common stock. For example, under Section 174 of the Code, in taxable years beginning after December 31, 2021, expenses that are incurred for research and development performed outside the U.S. will be capitalized and amortized, which may have an adverse effect on our cash flow. H.R.1 provides that for taxable years beginning after December 31, 2024, expenses that are incurred for research and development performed in the U.S. may, at the taxpayer’s election, be immediately deducted or capitalized and amortized. In addition, H.R.1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In recent years, many changes have been made to applicable tax laws and changes are likely to continue to occur in the future. Future changes in tax laws could have a material adverse effect on our business, cash flow, financial condition or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 We urge investors to consult with their legal and tax advisers regarding the implications of potential changes in tax laws on an investment in our common stock.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 decline in the federal budget, changes in spending or budgetary priorities of the U.S. government, a prolonged U.S. government shutdown or delays in contract awards may significantly and adversely affect our future revenues, cash flow and financial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recent years, U.S. government appropriations have been affected by larger U.S. government budgetary issues and related legislation. As a result, the Department of Defense funding levels have fluctuated and have been difficult to predict. Future spending levels are subject to a wide range of factors, including Congressional action. In addition, in the past, U.S. debt ceiling and budget deficit concerns have increased the possibility of additional credit-rating downgrades and economic slowdowns, or a recession in the U.S. Although U.S. lawmakers passed legislation to raise the federal debt ceiling on multiple occasions, ratings agencies have lowered or threatened to lower the long-term sovereign credit rating on the U.S. The impact of this or any further downgrades to the U.S. government’s sovereign credit rating or its perceived creditworthiness could adversely affect the U.S. and global financial markets and economic conditions.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result, government spending levels are difficult to predict beyond the near term due to numerous factors, including the external threat environment, future government priorities and the state of government finances. Significant changes in government spending or changes in U.S. government priorities, policies and requirements could have a material adverse effect on our results of operations, financial condition or liquidity.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U.S. Congress, the Trump administration, or any new administration may make substantial changes to fiscal, tax, and other federal policies that may adversely affect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the start of the Trump Administration in 2025, U.S. policy changes have been implemented at a rapid pace and additional changes are likely. Changes to U.S. policy implemented by the U.S. Congress and the current administration have impacted and may in the future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U.S. and certain foreign export and import controls, sanctions, embargoes, anti-corruption laws, and anti-money laundering laws and regulations. Compliance with these legal standards could hinder our ability to compete in certain markets. We can face criminal liability and other serious consequences for violations, which can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operations are subject to U.S. and foreign anti-corruption, anti-money laundering, export control, sanctions and other trade laws and regulations. Anti-corruption laws generally prohibit us and our employees, officers, CROs, consultants, contractors and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partners and agents from authorizing, promising, offering, providing, soliciting, or receiving, directly or indirectly, corrupt or improper payments or anything else of value to or from recipients in the public or private sector.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subject to U.S. and foreign export controls, trade sanctions, and import laws and regulations. Such laws may prevent or prohibit the export or provision of certain products and services to countries, governments, and persons targeted by sanctions. Violations of these above laws can result in substantial criminal fines and civil penalties, imprisonment, the loss of trade privileges, debarment, breach of contract and fraud litigation, reputational harm and other consequences.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Third Party Relationships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currently rely on, and may continue to depend on, collaborations with third parties for the discovery, development and commercialization of our product candidates. If any of these collaborations are not successful, we may not be able to capitalize on the market potential of those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 third-party collaborator for research, development and commercialization of some of our product candidates, and we may seek third-party collaborators in the future. Pharmaceutical companies are our prior and likely future collaborators for any marketing, distribution, development, licensing or broader collaboration arrangements. If we fail to maintain our existing collaborations or fail to enter into future collaborations on commercially reasonable terms, or at all, or if such collaborations are not successful, we may not be able to execute our strategy to develop certain targets, product candidates or disease areas that we believe could benefit from the resources of either larger pharmaceutical companies or those specialized in a particular area of relevance.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example, in May 2025, we entered into the Collaboration Agreement with Novo. Under the Novo Collaboration Agreement, we and Novo are exclusively collaborating to leverage our proprietary Native Complex Platform® to discover, develop and commercialize multiple potential oral small molecule therapies for metabolic-related diseases based on certain specified molecular targets. The collaboration objective is to discover and develop several novel mono-, dual-, or triple-acting oral small molecule drug candidates directed across five Collaboration Targets. The collaboration includes our most advanced preclinical metabolic program focused on developing an oral small molecule agonist to the GIP receptor. We and Novo have initially commenced four simultaneous research and development programs, with each pursuing one or more Collaboration Targets from discovery through development candidate selection. Failure by Novo to meet its obligations under the Novo Collaboration Agreement, to apply sufficient efforts at developing and commercializing licensed products, or to comply with applicable legal or regulatory requirements, may materially adversely affect our business and our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 respect to our collaboration agreements, we have limited control over the amount and timing of resources that our collaborators dedicate to the development or commercialization of our product candidates. Moreover, our ability to generate revenues from these arrangements will depend on our collaborators’ abilities to successfully perform the functions assigned to them in these arrangements.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Collaborations involving our product candidates may pose the following risks to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these collaborations;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not pursue development and commercialization of our product candidates or may elect not to continue or renew development or commercialization programs based on preclinical studies or clinical trial results, changes in the collaborators’ strategic focus or available funding, or external factors such as an acquisition that diverts resources or creates competing priorities;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with marketing and distribution rights to one or more products may not commit sufficient resources to the marketing and distribution of such product or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infringe the intellectual property rights of third parties, which may expose us to litigation and potential liability;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disputes may arise between the collaborators and us that result in the delay or termination of the research, development or commercialization of our product candidates or that result in costly litigation or arbitration that diverts management attention and resources;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result of the foregoing, our existing collaboration or any future collaboration agreements may not lead to development or commercialization of our product candidates in the most efficient manner or at all. If a current or future collaborator of ours were to be involved in a business combination, the continued pursuit and emphasis on our product development or commercialization program could be delayed, diminished or terminated. Any failure to successfully develop or commercialize our product candidates pursuant to any current or future collaboration agreements could have a material and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to the extent that any of our current or future collaborators were to terminate a collaboration agreement, we may be forced to independently develop these product candidates, including funding preclinical studies or clinical trials, assuming marketing and distribution costs and defending intellectual property rights, or, in certain instances, abandon product candidates altogether, any of which could result in a change to our business plan and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rely on third-party manufacturers, CROs, CMOs, and suppliers to supply, develop and test components of our product candidates. The loss of our third-party manufacturers, CROs, CMOs, or suppliers, their failure to comply with applicable regulatory requirements or to supply sufficient quantities at acceptable quality levels or prices, or at all, or changes in methods of product candidate manufacturing, development or formulation would materially and adversely affect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own or operate facilities for drug manufacturing, storage, distribution or quality testing. We currently rely, and may continue to rely, on third-party contract manufacturers, including in China, to manufacture and test bulk drug substances, drug products, raw materials, samples, components, or other materials and reports. Reliance on third-party manufacturers may expose us to different risks than if we were to manufacture product candidates ourselves. There can be no assurance that our preclinical and clinical development product supplies will not be limited, interrupted, terminated or of satisfactory quality or continue to be available at acceptable prices. In addition, any replacement of our manufacturer could require significant effort and expertise because there may be a limited number of qualified replacements.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manufacturing process for a product candidate is subject to FDA, EMA and foreign regulatory authority review. In some cases, we, and our suppliers and manufacturers, some of which may be our sole source of supply, must meet applicable manufacturing requirements and undergo rigorous facility and process validation tests required by regulatory authorities in order to comply with regulatory standards, such as cGMPs. Securing marketing approval also requires the submission of information about the product manufacturing process to, and inspection of manufacturing facilities by, the FDA, EMA, and other comparable foreign regulatory authorities. If our contract manufacturers cannot successfully manufacture material that conforms to our specifications and the strict regulatory requirements of the FDA, EMA, and other comparable foreign regulatory authorities, we may not be able to rely on their manufacturing facilities for the manufacture of elements of our product candidates. Moreover, we do not control the manufacturing process at our contract manufacturers and are completely dependent on them for compliance with current regulatory requirements. In the event that any of our manufacturers fails to comply with such requirements or to perform its obligations in relation to quality, timing or otherwise, or if our supply of components or other materials becomes limited or interrupted for other reasons, we may be forced to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transferring such to another third party.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factors would increase our reliance on such manufacturer or require us to obtain a license from such manufacturer in order to enable us, or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and we may be required to repeat some of the development program. The delays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associated with the verification of a new manufacturer could negatively affect our ability to develop product candidates in a timely manner or within budget.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Any manufacturing facilities used to produce our products will be subject to periodic review and inspection by the FDA and foreign regulatory authorities, including for continued compliance with cGMP requirements, quality control, quality assurance and corresponding maintenance of records and documents.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comply with cGMPs or maintain a compliance status acceptable to the FDA or foreign regulatory authorities could adversely affect our business in a number of ways,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 in the progress on certain research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inability to initiate or continue clinical trials of product candidates under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 in submitting regulatory applications, or receiving regulatory approvals, for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of the cooperation of existing or future collaborators;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subjecting third-party manufacturing facilities to additional inspections by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requirements to cease distribution or to recall batches of our product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event of approval to market and commercialize a product candidate, an inability to meet commercial demands for our therapeutics.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our contract manufacturers may experience manufacturing difficulties due to resource constraints or as a result of labor disputes or unstable political environments. If our contract manufacturers were to encounter any of these difficulties, our ability to provide our product candidates to patients in preclinical and clinical trials, or to provide product for treatment of patients once approved, would be jeopardized.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currently rely on foreign CROs and CMOs, including WuXi AppTec (Hong Kong) Limited, for manufacturing and development activities and will likely continue to rely on foreign CROs and CMOs in the future. Foreign CMOs may be subject to U.S. legislation, sanctions,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example, the BIOSECURE Act passed in December 2025 prohibits U.S. federal agencies from entering into or renewing a contract with any company that uses biotechnology equipment or services produced or provided by a “biotechnology company of concern” in the performance of that contract. It also prohibits loans or grant funding from U.S. federal agencies to entities that use any biotechnology equipment or services produced or provided by a “biotechnology company of concern” in the performance of the government grant or loan. As the BIOSECURE Act is recently enacted, the full effects on our industry is unknown; however, it could have the downstream effect of restricting the ability of pharmaceutical companies that enter into contracts with or receive funding from U.S. federal agencies from purchasing services or equipment from certain Chinese biotechnology companies, including those that are specifically named in the proposed BIOSECURE Act, as well as supply chain disruptions or delays. As passed in December 2025, the BIOSECURE Act does not currently name WuXi Biologics or WuXi AppTec as “biotechnology companies of concern,” but treats any company on the Department of Defense “1260H list” (named after Section 1260H of the NDAA for Fiscal Year 2021) of “Chinese military companies” as a “biotechnology company of concern.” By December 18, 2026, the Director of the Office of Management and Budget (“OMB”) will publish a full list of “biotechnology companies of concern” based on recommendations from key federal Secretaries and Directors, including Defense, Justice, HHS, Commerce, National Intelligence, Homeland Security, State, and National Cyber. The Director of OMB will thereafter review and update that list at least annually, based on recommendations from those key federal Secretaries and Directors. To the extent WuXi Biologics, WuXi AppTec or other contractors we use are named as “biotechnology companies of concern” or if we have an existing contract with a company subsequently added to the “biotechnology companies of concern,” a grandfathering provision contained within the BIOSECURE Act may allow us adequate time to identify and execute agreements with alternative contractors if necessary (although there is no guarantee the terms under which we would engaged an alternative contractor would be favorable or how the government implements the BIOSECURE Act). Depending on how the BIOSECURE Act is interpreted by U.S. federal agencies, and whether the BIOSECURE Act is subsequently amended, we could be potentially restricted from pursuing U.S. federal government business or government reimbursement for our products in the future if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continue to use WuXi Biologics, WuXi AppTec or other suppliers or partners identified as “biotechnology companies of concern” beyond this grandfathering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the BIOSECURE Act, any additional executive action, legislative action, or potential sanctions with China could materially impact our work with WuXi STA. U.S. executive agencies have the ability to designate entities and individuals on various governmental prohibited and restricted parties lists. Depending on the designation, potential consequences can range from a comprehensive prohibition on all transactions or dealings with designated parties, or a limited prohibition on certain types of activities, such as exports and financing activities, with designated parties.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the pharmaceutical industry in China is strictly regulated by the Chinese government. Changes to Chinese regulations or government policies affecting pharmaceutical companies are unpredictable and may have a material adverse effect on our collaborators in China which could have an adverse effect on our business, financial condition, results of operations and prospects. Evolving changes in China’s public health, economic, political, and social conditions and the uncertainty around China’s relationship with other governments, such as the U.S. and the United Kingdom, or U.K., could also negatively impact our ability to manufacture our product candidates for our planned clinical trials or have an adverse effect on our ability to secure government funding, which could adversely affect our financial condition and cause us to delay our clinical development programs. Any of the foregoing factors could have a material adverse effect on our business, results of operations, or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have entered into a collaboration agreement, and may in the future enter into additional collaboration agreements and strategic alliances to maximize the potential of our structure-based drug discovery platform and product candidates, and we may not realize the anticipated benefits of such collaborations or alliances. We expect to form collaborations in the future with respect to our product candidates, but may be unable to do so or to realize the potential benefits of such transactions, which may cause us to alter or delay our development and commercialization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Part of our business strategy is to explore additional collaborations with third parties to further utilize our platform capabilities on additional novel GPCR targets and to leverage partners additional disease biology understanding, development and commercial expertise, regional insights or other complementary capabilities to existing or future Septerna programs. We have therefore entered into the Novo Collaboration Agreement and may form or seek further strategic alliances, create joint ventures or collaborations, or enter into additional licensing arrangements with third parties that we believe will complement or augment our development and commercialization efforts with respect to our structure-based drug discovery platform or our product candidates that we may develop. These transactions can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As a result, if we enter into acquisition or license agreements or strategic partnerships, we may not be able to realize the benefit of such transactions if we are unable to successfully integrate them with our existing operations and company culture. We also cannot be certain that, following a strategic transaction or license, we will achieve the revenue or other anticipated benefits that led us to enter into the arrangement.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Research and development collaborations are subject to numerous risks, which may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a collaboration, and may not commit sufficient efforts and resources, or may misapply those efforts and resources causing delays or termination of the research;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not pursue development and commercialization of our structure-based drug discovery platform or collaboration product candidates or may elect not to continue or renew development or commercialization programs based on clinical trial results or changes in their strategic focus;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delay, provide insufficient resources to, or modify or stop clinical trials for collaboration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could develop or acquire products outside of the collaboration that compete directly or indirectly with our products or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and personnel to pursue further development or commercialization of our structure-based drug discovery platform or the applicable product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own or co-own intellectual property covering our products that results from our collaborating with them, and in such cases, we may not have the exclusive right to commercialize such intellectual property.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could face significant competition in seeking appropriate strategic partners and the negotiation process is time-consuming, expensive, and complex. We may not be successful in our efforts to establish a strategic partnership or other alternative arrangements for our structure-based drug discovery platform or product candidates because they may be deemed to be at too early of a stage of development for collaborative effort and third parties may not view our product candidates as having the requisite potential to demonstrate their desired safety and efficacy profile. If and when we collaborate with a third party for development and commercialization of a product candidate, we can expect to relinquish some or all of the control over the future success of that product candidate to the third party. Our ability to reach a definitive agreement for a collaboration will depend, among other things, upon our assessment of the collaborator’s resources and expertise, the terms and conditions of the proposed collaboration and the proposed collaborator’s evaluation of our technologies, product candidates and market opportunities.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any license agreements from entering into additional agreements on certain terms or at all with other potential collaborators.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result of these risks, we may not be able to realize the benefit of any future collaborations or licensing agreements we may enter into. In addition, we may face regulatory obstacles in completing such transactions. If we are unable to do so, we may have to curtail the development of such product candidate, reduce or delay one or more of our other development programs, delay the potential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structure-based drug discovery platform or product candidates or bring them to market and generate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we may sometimes collaborate with academic institutions to accelerate our preclinical research or development under written agreements with these institutions. If collaborations occur, these institutions often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products require specific constituents to work effectively and efficiently, and rights to those constituents are, and in the future may be, held by others. We may also seek to in-license third-party technologies to enhance our Native Complex Platform®. We may be unable to in-license any rights from constituents, methods of use, processes or other third-party intellectual property rights from third parties that we identify. We may fail to obtain any of these licenses at a reasonable cost or on reasonable terms, which could harm our business. Even if we are able to obtain a license, it may be non-exclusive, thereby giving our competitors access to the same technologies licensed to us. In that event, we may be required to expend significant time and resources to develop or license replacement technology in order to establish or maintain our competitive position in the market. Any delays in entering into new collaborations or strategic partnership agreements related to our product candidates or our structure-based drug discovery platform could delay the development and commercialization of our product candidates in certain geographies or limit our ability to discover and develop new product candidates, which could harm our business prospects,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manufacturing of our product candidates is complex, and our third-party manufacturers may encounter difficulties in production. If we or any of our third-party manufacturers encounter such difficulties, our ability to provide supply of our product candidates for clinical trials, our ability to obtain marketing approval, or our ability to provide patients supply of our products, if approved, could be delayed or stopped.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process of manufacturing pharmaceuticals is complex, time-consuming, highly regulated and subject to multiple risks. Our contract manufacturers must comply with legal requirements, cGMPs and guidelines for the manufacturing of pharmaceuticals used in clinical trials and, if approved, marketed products. Our contract manufacturers may have limited experience in the manufacturing of cGMP batches.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Manufacturing pharmaceuticals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our third-party manufacturers’ facilities, such facilities may need to be closed for an extended period of time to investigate and remedy the contamination, which could delay clinical trials and adversely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there are risks associated with large scale manufacturing for clinical trials or commercial scale including, among others, cost overruns, potential problems with process scale-up, process reproducibility, stability issues, compliance with cGMPs, lot consistency and timely availability of raw materials. Even if we or our future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manufacturers are unable to produce sufficient quantities for clinical trials or for commercialization, commercialization efforts would be impaired, which would have an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Scaling up a pharmaceutical manufacturing process is a difficult and uncertain task, and our third-party manufacturers may not have the necessary capabilities to complete the implementation, manufacturing and development process. If we are unable to adequately validate or scale-up the manufacturing process at our current manufacturers’ facilities, we will need to transfer to another manufacturer and complete the manufacturing validation process, which can be lengthy. If we are able to adequately validate and scale-up the manufacturing process for our product candidates with a contract manufacturer, we will still need to negotiate with such contract manufacturer an agreement for commercial supply and it is not certain we will be able to come to agreement on terms acceptable to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assure that any stability or other issues relating to the manufacture of any of our product candidates will not occur in the future. If our third-party manufacturers were to encounter any of these difficulties,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if approved, and could have an adverse effect on our business, prospects, financial condition and results of operations. Regional or single-source dependencies may in some cases accentuate these risks. For example, the pharmaceutical industry generally, and in some instances our Company, our collaborators or other third parties on which we rely, depend on China-based suppliers or service providers for certain raw materials, products and services, or other activities. Our ability or the ability of our collaborators or such other third parties to continue to engage these China-based suppliers or service providers for certain preclinical research programs and clinical development programs could be restricted due to geopolitical development between the United States and China, including as a result of the escalation of tariffs or other trade restrictions, the BIOSECURE Act or the enactment of new laws that limit our ability to freely contract for goods or services.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As part of our process development efforts, we also may make changes to the manufacturing processes at various points during development, for various reasons, such as controlling costs, achieving scale, decreasing processing time, increasing manufacturing success rate or other reasons. Such changes carry the risk that they will not achieve their intended objectives, and any of these changes could cause our product candidates to perform differently and affect the results of our clinical trials. In some circumstances, changes in the manufacturing process may require us to perform </w:t>
      </w:r>
      <w:r>
        <w:rPr>
          <w:rFonts w:ascii="Times New Roman" w:hAnsi="Times New Roman"/>
          <w:i/>
          <w:color w:val="000000"/>
          <w:sz w:val="20"/>
        </w:rPr>
        <w:t>ex vivo</w:t>
      </w:r>
      <w:r>
        <w:rPr>
          <w:rFonts w:ascii="Times New Roman" w:hAnsi="Times New Roman"/>
          <w:color w:val="000000"/>
          <w:sz w:val="20"/>
        </w:rPr>
        <w:t xml:space="preserve"> comparability studies and to collect additional data from patients prior to undertaking more advanced clinical trials. For instance, changes in our process during the course of clinical development may require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us to show the comparability of the product used in earlier clinical phases or at earlier portions of a trial to the product used in later clinical phases or later portions of the trial.</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intend to rely on third parties to conduct, supervise and monitor our preclinical studies and clinical trials, and if those third parties perform in an unsatisfactory manner, it may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currently have the ability to independently conduct preclinical studies or clinical trials required to develop our product candidates. We intend to rely on CROs, clinical trial sites and other third parties to ensure the proper and timely conduct of our preclinical studies and clinical trials, and we expect to have limited influence over their actual performance. We intend to rely upon CROs and others for the execution of future nonclinical studies and to monitor, manage and report data for our clinical trials. We expect to control only certain aspects of our CROs’ and others’ activities. Nevertheless, we will be responsible for ensuring that each of our preclinical studies or clinical trials are conducted in accordance with the applicable protocol, legal, regulatory and scientific standards and our reliance on the CROs and others does not relieve us of our regulatory responsibilities.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our CROs and other third parties we might engage will be required to comply with good laboratory practices (“GLPs”) and GCPs, which are regulations and guidelines enforced by the FDA, EMA, and other comparable foreign regulatory authorities in the form of International Conference on Harmonization guidelines for any of our product candidates that are in preclinical and clinical development. The regulatory authorities enforce GCPs through periodic inspections of trial sponsors, principal investigators and clinical trial sites. Although we will rely on CROs and others to conduct GCP-compliant clinical trials, we remain responsible for ensuring that each of our GLP preclinical studies and clinical trials is conducted in accordance with its investigational plan and protocol and applicable laws and regulations, and our reliance on the CROs and others does not relieve us of our regulatory responsibilities. If we, our CROs and other third parties we engage fail to comply with GCPs, the clinical data generated in our clinical trials may be deemed unreliable and the FDA, EMA, or other comparable foreign regulatory authorities may require us to perform additional clinical trials before approving our marketing applications. Accordingly, if our CROs or others fail to comply with these regulations or fail to recruit a sufficient number of participants, we may be required to repeat clinical trials, which would delay the regulatory approval process.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will have agreements governing their activities, our CROs and other third parties we engage will not be our employees, and we will not control whether or not they devote sufficient time and resources to our future nonclinical and clinical programs. These CROs and others may also have relationships with other commercial entities, including our competitors, for whom they may also be conducting clinical trials, or other drug development activities which could harm our business. We face the risk of potential unauthorized disclosure or misappropriation of our intellectual property by CROs and others, which may reduce our trade secret protection and allow our potential competitors to access and exploit our proprietary technology. In addition, certain of our agreements with CROs and other third parties currently or will provide for monetary and other limitations on their liability. If our CROs do not successfully carry out their contractual duties or obligations, fail to meet expected deadlines, or if the quality or accuracy of the preclinical or clinical data they obtain is compromised due to the failure to adhere to our protocols or regulatory requirements or for any other reasons, our preclinical or clinical programs may be extended, delayed or terminated, and we may not be able to obtain regulatory approval for, or successfully commercialize any product candidate that we develop. As a result, our financial results and the commercial prospects for any product candidate that we develop would be harmed, our costs could increase, and our ability to generate revenue could be delayed, decreased or eliminated.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relationship with these CROs terminates, we may not be able to enter into arrangements with alternative CROs or do so on commercially reasonable terms. Switching or adding additional CROs involves substantial cost and requires management time and focus. In addition, there is a natural transition period when a new CRO commences work. As a result, delays occur, which can negatively impact our ability to meet our desired development timelines. Though we intend to carefully manage our relationships with our CROs, there can be no assurance that we will not encounter challenges or delays in the future or that these delays or challenges will not have a negative impact on our business, financial condition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our product candidates.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currently depend and in the future may continue to depend on single- or limited-source suppliers for some of the components and materials used in the product candidates we may develop.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depend and in the future may continue to depend on single- or limited-source suppliers for some of the components and materials used in any product candidates we may develop. We cannot ensure that these suppliers or service providers will remain in business, have sufficient capacity or supply to meet our needs or that they will not be purchased by one of our competitors or another company that is not interested in continuing to work with us. Our use of single-source suppliers of raw materials, components, key processes and finished goods could expose us to several risks, including disruptions in supply, price increases or late deliveries. There are, in general, relatively few alternative sources of supply for substitute components. These vendors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damage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have to switch to a replacement supplier, the manufacture and delivery of any product candidates we may develop could be interrupted for an extended period, which could adversely affect our business. Establishing additional or replacement suppliers, if required, may not be accomplished quickly or at all. If we are able to find a replacement supplier, the replacement supplier would need to be qualified and may require additional regulatory authority approval, which could result in further delay. While we seek to maintain adequate inventory of the single source components and materials used in our therapeutics, any interruption or delay in the supply of components or materials, or our inability to obtain components or materials from alternate sources at acceptable prices in a timely manner, could impair our ability to meet the demand for our product candidates.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are unable to obtain, maintain, defend and enforce patent or other intellectual property protection for our current or any future product candidates, or if the scope of the patent protection obtained is not sufficiently broad, we may not be able to compete effectively in our markets.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anticipate that we will file additional patent applications both in the United States and in other jurisdictions, as appropriate. However, we cannot predict: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and when any patents will issue;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degree and scope of protection any issued patents will afford us against competitors, including whether third parties will find ways to invalidate or otherwise circumvent our patents;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others will apply for or obtain patents claiming aspects similar to those covered by our patents and patent applications;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we will need to initiate litigation or administrative proceedings to defend our patent rights, which may be costly whether we win or lose;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the patent applications that we own, or may in-license, will result in issued patents with claims that cover our product candidates or uses thereof in the United States or in foreign jurisdictions.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rely, and may in the future rely, upon a combination of patent, trade secret and trademark protection for our current and any future product candidates and proprietary technologies to prevent third parties from exploiting our achievements, thus eroding our competitive position in our market. These legal measures afford only limited protection, and competitors or others may gain access to or use our intellectual property and proprietary information. Our success depends in large part on our ability to obtain, maintain, expand, enforce, and defend the scope, ownership or control, validity and enforceability of our intellectual property protection in the United States and other countries with respect to our current and any future product candidates and other proprietary technologies we may develop. Our commercial success depends in large part on our ability to obtain and maintain patent protection in the United States and other jurisdictions with respect to our current and any future product candidates. We seek to protect our proprietary position by filing patent applications in the United States and abroad related to our current and future development programs and product candidates. The patent prosecution process is expensive and time-consuming, and we may not be able to file and prosecute all necessary or desirable patent applications at a reasonable cost or in a timely manner, including as a result of factors impacting our, our licensors’ or governmental patent offices’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It is possible that we will fail to identify patentable aspects of our research and development output before it is too late to obtain patent protection. The patent applications that we own or in-license may fail to result in issued patents with claims that cover our current or any future product candidates in the United States or in foreign jurisdictions. There is no assurance that all of the potentially relevant prior art relating to our patents and patent applications has been or will be found, which unknown prior art can invalidate a patent or prevent a patent from issuing from a pending patent application. Even if patents do issue and even if such patents cover our current or any future product candidates, third parties may challenge their scope, validity, or enforceability, which may result in such patents being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narrowed, invalidated, or held unenforceable. Any successful opposition to these patents or any other patents owned by or licensed to us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patent applications we hold or have in-licensed with respect to our product candidates fail to issue, if their breadth or strength of protection is threatened, or if they fail to provide meaningful exclusivity for current or any future product candidates, it could dissuade companies from collaborating with us to develop product candidates, and threaten our ability to commercialize, future drug products. Any such outcome could have a negative effect on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Composition of matter patents for pharmaceutical products provide intellectual property protection for those types of products, as such patents provide protection without regard to any method of use. We cannot be certain, however, that the claims in our pending patent applications covering the composition of matter of any of our product candidates will be considered patentable by the USPTO, or by patent offices in foreign jurisdictions, or that the claims in any of our patents that may issue will be considered valid and enforceable by courts in the United States or foreign jurisdictions. Method of use patents protect the use of a product for the specified method. We cannot be certain, however, that the claims in our pending patent applications covering methods of use of our product candidates will be considered patentable by the USPTO, or by patent offices in foreign jurisdictions, or that the claims in any of our patents that may issue will be considered valid and enforceable by courts in the United States or foreign jurisdictions. Further,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once approved for therapeutic use by FDA. or counterpart foreign regulatory authorities, physicians may prescribe these products “off-label” for those uses that are covered by our method of use patents. Although off-label prescriptions may infringe or contribute to the infringement of method of use patents, the practice is common and such infringement is difficult to prevent or enforce against.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patent position of biotechnology and pharmaceutical companies generally is highly uncertain, involves complex legal and factual questions and has in recent years been the subject of much litigation. In addition, the laws of foreign jurisdictions may not protect our rights to the same extent as the laws of the United States. Patent applications in the United States and certain other jurisdictions are typically not published until 18 months after filing, or in some cases not at all. Therefore, we cannot know with certainty whether we were the first to file for patent protection. As a result,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or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Changes in either the patent laws or interpretation of the patent laws in the United States and other jurisdictions may diminish the value of our patents or narrow the scope of our patent protection. These changes could increase the uncertainties and costs surrounding the prosecution of our patent applications and the enforcement or defense of our issued patents, all of which could have a negative effect on our business.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Moreover, we may be subject to a third-party pre-issuance submission of prior art to the USPTO or another patent office or become involved in opposition, derivation, reexamination, </w:t>
      </w:r>
      <w:r>
        <w:rPr>
          <w:rFonts w:ascii="Times New Roman" w:hAnsi="Times New Roman"/>
          <w:i/>
          <w:color w:val="000000"/>
          <w:sz w:val="20"/>
        </w:rPr>
        <w:t>inter partes</w:t>
      </w:r>
      <w:r>
        <w:rPr>
          <w:rFonts w:ascii="Times New Roman" w:hAnsi="Times New Roman"/>
          <w:color w:val="000000"/>
          <w:sz w:val="20"/>
        </w:rPr>
        <w:t xml:space="preserve"> review (“IPR”), post-grant review (“PGR”) or interference proceedings challenging our patent rights or the patent rights of others. An adverse determination in any such submission, proceeding or litigation could reduce the scope of, or invalidate, our patent rights, allow third parties to commercialize our technology or drugs and compete directly with us, without payment to us, or result in our inability to manufacture or commercialize drugs without infringing third-party patent rights or obtaining a costly license from a third party. In addition, if the breadth or strength of protection provided by our patents and patent applications is threatened, it could dissuade companies from collaborating with us to license, develop or commercialize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issuance of a patent is not conclusive as to its inventorship, scope, validity or enforceability, and our owned and licensed patents may be challenged in the courts or patent offices in the United States and abroad. An adverse determination in any such challenges may result in loss of exclusivity or in patent claims being narrowed, invalidated or held unenforceable, in whole or in part, which could limit our ability to stop others from using or commercializing similar or identical technology, products or methods, or limit the duration of the patent protection of our technology, products or methods.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Moreover, patents have a limited lifespan. In the United States, if all maintenance fees are paid timely, the natural expiration of a patent is generally 20 years from the earliest filing date of a non-provisional patent application. Various extensions may be available; however, the life of a patent, and the protection it affords, is limited. For instance, a patent term extension based on regulatory delay may be available in the United States. However, only a single patent can be extended for each marketing approval, and any patent can be extended only once, for a single product. Moreover, the scope of protection during the period of the patent term extension does not necessarily extend to all claims, but instead only to claims that read on the product as approved. Laws governing analogous patent term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extensions in foreign jurisdictions vary widely, as do laws governing the ability to obtain multiple patents from a single patent family. Additionally, we may not receive an extension if we fail to exercise due diligence during the testing phase or regulatory review process, apply within applicable deadlines, fail to apply prior to expiration of relevant patents or otherwise fail to satisfy applicable requirements.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may take advantage of our investment in development and clinical trials by referencing our clinical and preclinical data to launch their product earlier than might otherwise be the case, and our revenue could be reduced, possibly materially. In addition, although upon issuance in the United States a patent’s term can be increased based on certain delays caused by the USPTO, this increase can be reduced or eliminated based on certain delays caused by the patent applicant during patent prosecution. Without patent protection for our product candidates, including once the patent life has expired even if patents covering our product candidates are obtained, we may be open to competition from generic versions of such drugs. Given the amount of time required for the development, testing and regulatory review of new product candidates, patents protecting such candidates might expire before or shortly after such candidates are commercialized. Even if patents covering our product candidates are obtained, once the patent term has expired for a product, we may be open to competition from generic medications. As a result, our owned and licensed patent portfolio may not provide us with sufficient rights to exclude others from commercializing drugs similar or identical to ours.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we have or obtain patents covering our products or methods, we may still be barred from making, using and selling such products or methods because of the patent rights of others. Others may have filed, and in the future may file, patent applications covering compositions, products or methods that are similar or identical to ours, which could materially affect our ability to successfully develop our technology or to successfully commercialize any approved products alone or with collaborators.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Patent applications in the United States and elsewhere are generally published approximately 18 months after the earliest filing for which priority is claimed, with such earliest filing date being commonly referred to as the priority date. Therefore, patent applications covering our methods and product candidates could have been filed by others without our knowledge. Additionally, pending claims in patent applications which have been published can, subject to certain limitations, be later amended in a manner that could cover our platform technologies or related products. These patent applications may have priority over patent applications filed by us.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subject to claims challenging the inventorship or ownership of our patents and other 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subject to claims that former employees, collaborators or other third parties have an interest in our owned or in-licensed patents, trade secrets or other intellectual property as an inventor, co-inventor, owner or co-owner. For example, we or our licensors may have inventorship or ownership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we may be required to pay monetary damages and we may also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are sued for infringing intellectual property rights of third parties, such litigation could be costly and time consuming and could prevent or delay us from developing or commercializing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success depends, in part, on our ability to develop, manufacture, market and sell our product candidates without infringing the intellectual property and other proprietary rights of third parties. Third parties may allege that we have infringed or misappropriated their intellectual property. Litigation or other legal proceedings relating to intellectual property claims, with or without merit, is unpredictable and generally expensive and time consuming and, even if resolved in our favor, is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is a substantial amount of intellectual property litigation in the biotechnology and pharmaceutical industries, and we may become party to, or threatened with, litigation or other adversarial proceedings regarding intellectual property rights with respect to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product candidates. We cannot be certain that our product candidates and other proprietary technologies we may develop will not infringe existing or future patents owned by third parties. Third parties may assert infringement claims against us based on existing or future intellectual property rights. In the United States, proving invalidity in court requires a showing of clear and convincing evidence to overcome the presumption of validity enjoyed by issued patents. 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In addition, we could be found liable for monetary damages, including treble damages and attorneys’ fees if we are found to have willfully infringed a patent. A finding of infringement could prevent us from commercializing our investigational products or force us to cease some of our business operations, which could materially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not be aware of patents that have already been issued and that a third party, for example, a competitor in the fields in which we are developing our product candidates, might assert are infringed by our product candidates, including claims to compositions, formulations, methods of manufacture or methods of use or treatment that cover our product candidates. It is also possible that patents owned by third parties of which we are aware, but which we do not believe are relevant to our product candidates and other proprietary technologies we may develop, could be found to be infringed by one or more of our product candidates. In addition, because patent applications can take many years to issue, there may be currently pending patent applications that may later result in issued patents that our product candidates may infringe.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The pharmaceutical and biotechnology industries have produced a considerable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may be difficult. For example, in the United States, proving invalidity in court requires a showing of clear and convincing evidence to overcome the presumption of validity enjoyed by issued patents, and there is no assurance that a court of competent jurisdiction would invalidate the claims of any such U.S. patent. Even if we are successful in these proceedings, we may incur substantial costs and the time and attention of our management and scientific personnel could be diverted in pursuing these proceedings, which could have a material adverse effect on our business and operations. Furthermore, because of the substantial amount of discovery required in connection with intellectual property litigation, there is a risk that some of our confidential information could be compromised by disclosure during litigation. In addition, we may not have sufficient resources to bring these actions to a successful conclusion.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may choose to challenge the enforceability or validity of claims in a third party’s U.S. patent by requesting that the USPTO review the patent claims in an </w:t>
      </w:r>
      <w:r>
        <w:rPr>
          <w:rFonts w:ascii="Times New Roman" w:hAnsi="Times New Roman"/>
          <w:i/>
          <w:color w:val="000000"/>
          <w:sz w:val="20"/>
        </w:rPr>
        <w:t>ex parte</w:t>
      </w:r>
      <w:r>
        <w:rPr>
          <w:rFonts w:ascii="Times New Roman" w:hAnsi="Times New Roman"/>
          <w:color w:val="000000"/>
          <w:sz w:val="20"/>
        </w:rPr>
        <w:t xml:space="preserve"> re-examination, IPR or PGR proceeding. These proceedings are expensive and may consume our time or other resources. We may choose to challenge a third 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found to infringe a third-party’s intellectual property rights, we could be forced, including by court order, to cease developing, manufacturing or commercializing the infringing product candidate or product. Alternatively, we may be required to obtain a license from such third-party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and could divert the time and attention of our technical personnel and management, cause development delays, and/or require us to develop non-infringing technology, which may not be possible on a cost-effective basis, any of which could materially harm our business. In the event of a successful claim of infringement against us, we may have to pay substantial monetary damages, including treble damages and attorneys’ fees for willful infringement, pay royalties and other fees, redesign our infringing drug or obtain one or more licenses from third parties, which may be impossible or require substantial time and monetary expenditure.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technology licensed from various third parties may be subject to retained rights.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licensors may retain certain rights under the relevant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United States federal government retains certain rights in inventions produced with its financial assistance under the Patent and Trademark Law Amendments Act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We sometimes collaborate with academic institutions to accelerate our preclinical research or development, creating a risk that federal funds may be commingled. Therefore, we cannot be sure that any intellectual property co-developed from a collaboration with an academic institution will be free from government rights pursuant to the Bayh-Dole Act.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not identify relevant third-party patents or may incorrectly interpret the relevance, scope or expiration date of a third-party patent, which might adversely affect our ability to develop and market our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aware of patents or pending or future patent applications that, if issued, would block us from commercializing our product candidates. Thus, we cannot guarantee that our product candidates, or our commercialization thereof, do not and will not infringe any third party’s intellectual property.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guarantee that any patent searches or analyses that are performed, including the identification of relevant patents, the scope of patent claims or the expiration dates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future products.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future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landscape of intellectual property related to our product candidates and future products is constantly changing. Therefore,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Because patent applications in the United States and certain other jurisdictions are confidential for typically a period of at least 18 months after their priority date, or may not be published at all, we cannot be certain that we were the first to file any patent application related to our product candidates. As a result, the issuance, scope, validity, enforceability and commercial value of our patent rights are highly uncertain.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for U.S. applications in which all claims are entitled to a priority date before March 16, 2013, an interference proceeding can be provoked by a third party or instituted by the USPTO to determine who was the first to invent any of the subject matter covered by the patent claims of our applications. For U.S. applications containing a claim not entitled to priority before March 16, 2013, there is a greater level of uncertainty in the patent law in view of the passage of the America Invents Act, which brought into effect significant changes to the U.S. patent laws, including new procedures for challenging pending patent applications and issued patents. Should we fail to win an interference challenge, a third party may obtain rights to intellectual property related to our product candidates and future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not be successful in obtaining or maintaining necessary rights to our product candidates through acquisitions and in-licenses.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our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normally seek to obtain the right to control prosecution, maintenance and enforcement of the patents relating to our product candidates, there may be times when the filing and prosecution activities for patents and patent applications relating to our product candidates are controlled by our future licensors or collaboration partners. If any of our future licensors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future licensors and their counsel that took place prior to the date upon which we assumed control over patent prosecution.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enter into license agreements in the future with others to advance our existing or future research or allow commercialization of our product candidates. These licenses may not provide exclusive rights to use such intellectual property and technology in all relevant fields of use and in all territories in which we may wish to develop or commercialize our technology platform or product candidates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future licensors fail to prosecute, maintain, enforce, and defend such patents or patent applications, or lose rights to those patents or patent applications, the rights we have licensed may be reduced or eliminated, and our right to develop and commercialize any of our product candidates that are subject of such licensed rights could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future licensors may rely on third-party consultants or collaborators or on funds from third parties such that our future licensors are not the sole and exclusive owners of the patents we in-license. If other third parties have ownership rights to our future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possible that we may be unable to obtain necessary licenses at a reasonable cost or on reasonable terms, if at all. Even if we are able to obtain a license, it may be non-exclusive, thereby giving our competitors access to the same technologies licensed to us (which could have a material adverse effect on our competitive position, business, financial conditions, results of operations, and prospects). In the event we are unable to obtain necessary licenses at a reasonable cost or on reasonable terms,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Disputes may arise between us and our future licensors regarding intellectual property subject to a license agreement, including: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of the licensor that is not subject to the licensing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right to sublicense patents and other rights to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right to transfer or assign the license;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inventorship and ownership of inventions and know-how resulting from the joint creation or use of intellectual property by our future licensors and us and our partners;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priority of invention of patented technology.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license in the future prevent or impair our ability to maintain our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spite of our best efforts, our future licensors might conclude that we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time to time, we may be required to license technologies relating to our programs from additional third parties to further develop or commercialize our product candidates. Should we be required to obtain licenses to any third-party technology, including any such patents required to manufacture, use or sell our product candidates, such licenses may not be available to us on commercially reasonable terms, or at all. The inability to obtain any third-party license required to develop or commercialize any of our product candidates could cause us to abandon any related efforts, which could seriously harm our business and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involved in lawsuits to protect or enforce our patents, which could be expensive, time consuming and unsuccessful. Further, our issued patents could be found invalid or unenforceable if challenged in court.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license is not valid, is unenforceable and/or is not infringed. If we or our current or future collaborators were to initiate legal proceedings against a third party to enforce a patent covering one of our product candidates, the defendant could counterclaim that the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but not limited to lack of novelty, obviousness, or insufficient written description or enablement. Grounds for an unenforceability assertion could include an allegation that someone connected with prosecution of the patent withheld relevant information from the USPTO or made a misleading statement during prosecution.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Third parties may also raise similar invalidity claims before the USPTO or patent offices abroad, even outside the context of litigation. Such mechanisms include re-examination, PGR, IPR, derivation proceedings, interference proceedings, and equivalent proceedings in foreign jurisdictions (e.g., opposition proceedings). Such proceedings could result in loss of rights to, the revocation of, cancellation of or amendment to our patents in such a way that they no longer cover our technology or platform,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There is also no assurance that there is not prior art of which we are aware, but which we do not believe affects the validity or enforceability of a claim in our patents and patent applications, which may, nonetheless, ultimately be found to affect the validity or enforceability of a patent claim. If a third party were to prevail on a legal assertion of invalidity or unenforceability, we would lose at least part, and perhaps all, of the patent protection on our product candidates or other intellectual property that we may develop. In addition, if the breadth or strength of protection provided by our patents and patent applications is threatened or questioned,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could dissuade companies from collaborating with us to license, develop or commercialize our product candidates. Such a loss of patent protection would have a material adverse impact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resolved in our favor, litigation or other legal proceedings relating to our intellectual property rights may cause us to incur significant expenses and could distract our technical and management personnel from their normal responsibilities. 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subject to claims that we or our employees have misappropriated the intellectual property, including confidential information, know-how or trade secrets, of a third-party, or claiming ownership of what we regard as our own 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proprietary information, know-how or trade secrets of others in their work for us, we may be subject to claims that we have wrongfully hired an employee from a competitor or that we or these employees, consultants or contractors have used or disclosed such third-party intellectual property, including know-how, trade secrets or other proprietary information, to us. Litigation may be necessary to defend against these claims. If we fail in defending any such claims, it may a have negative impact on our business and our ability to develop product candidates or commercialize our technology. In addition to paying substantial monetary damages, we may lose valuable intellectual property rights or personnel, or access to consultants and contractors. Even if we are successful in defending against such claims, litigation could incur substantial costs and be a distraction to management and scientific personnel.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license intellectual property rights from third parties. Such licenses may be subject to early termination if we fail to comply with our obligations in our licenses with third parties, which could result in the loss of rights or technology that are material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become a party to licenses that give us rights to third-party intellectual property or technology that is necessary or useful for our business, and we may enter into additional licenses in the future. Under these license agreements, we are or may become obligated to pay the licensor fees, which may include annual license fees, milestone payments, royalties, a percentage of revenues associated with the licensed technology and a percentage of sublicensing revenue. These fees may be significant, which could make it difficult for us to achieve or maintain profitability. In addition, under certain of such agreements, we are or may become required to diligently pursue the development of products using the licensed technology. If we fail to comply with these obligations, including due to our use of the intellectual property licensed to us in an unauthorized manner, and fail to cure our breach within a specified period of time, the licensor may have the right to terminate the applicable license, in which event we could lose valuable rights and technology that are material to our business, harming our ability to develop, manufacture and/or commercialize our platform, products or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agreements under which we license intellectual property or technology to or from third-parties can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 The failure to obtain or in-license any compositions, methods of use, processes or other third-party intellectual property rights at a reasonable cost or on reasonable terms, could harm our business. If we fail to obtain licenses to necessary third-party intellectual property rights, we may need to cease use of the compositions or methods covered by such third-party intellectual property rights. Furthermore, we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Periodic maintenance fees, renewal fees, annuity fees and various other government fees on patents and/or applications will be due to be paid to the USPTO and various government patent agencies outside of the United States over the lifetime of our owned and licensed patents and/or applications and any patent rights we may own or license in the future. We rely on our outside counsel, patent annuity service providers, or our licensing partners to pay these fees to the applicable government patent agencies. If these fees are not paid when due, our rights to such patents or patent applications may be irrevocably abandoned or otherwise materially impaired.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USPTO and various non-U.S. government patent agencies require compliance with numerous procedural, documentary, and other similar provisions during the patent application process. For example, many jurisdictions, including the U.S. and China, require a foreign filing license before seeking patent protection in a jurisdiction outside of the jurisdiction of which the inventor is a citizen or in which the invention was made. Each jurisdiction’s laws regarding foreign filing licenses vary and may even conflict. We employ reputable law firms in foreign jurisdictions and other professionals to help us comply and we are also dependent on any licensors to take the necessary action to comply with these requirements with respect to our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market and this circumstance could harm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 which could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Filing, prosecuting, maintaining, enforcing, and defending patent applications and patents covering our current and any future product candidates worldwide is prohibitively expensive, so we will pursue patents in a limited number of jurisdictions. Moreover, our intellectual property rights in some jurisdictions outside the United States can have a different scope and strength than do those in the United States. Consequently, we will not be able to prevent third parties from practicing our inventions in all jurisdictions, or from selling or importing in and into various jurisdictions products made using our inventions. Competitors may use our technologies in jurisdictions where we have not obtained patent protection to develop their own product candidates and, further, may export otherwise infringing product candidates to territories where we may obtain patent protection, but where patent enforcement is not as strong as that in the United States. Further, these product candidates may compete with our product candidates in jurisdictions where we do not have any issued or licensed patents and any future patent claims or other intellectual property rights may not be effective or sufficient to prevent them from so competing.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Many companies have encountered significant problems protecting and defending intellectual property rights in jurisdictions outside the United States. The legal systems of certain jurisdictions do not favor the enforcement of patents, trade secrets and other intellectual property rights, particularly those relating to pharmaceutical products, which could make it difficult in those jurisdictions for us to stop the infringement or misappropriation of our patents or other intellectual property rights, including the marketing of competing products in violation of our proprietary rights. Proceedings to enforce our patents and other intellectual property rights in jurisdictions outside the United States could result in substantial costs and divert our efforts and attention from other aspects of our business. Furthermore, such proceedings could put our patents at risk of being invalidated, held unenforceable, or interpreted narrowly,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Similarly, if our trade secrets are disclosed in a foreign jurisdiction, competitors worldwide could have access to our proprietary information and we may be without satisfactory recourse. Such disclosure could have a material adverse effect on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protect and enforce our intellectual property rights may be adversely affected by unforeseen changes in intellectual property laws in the United States and around the world. For example, in Europe, a new unitary patent system took effect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 Certain jurisdictions, including China and India, have compulsory licensing laws under which a patent owner may be compelled to grant licenses to third parties under certain circumstances. In those jurisdictions, we and our licensors may have limited remedies if patents are infringed or if we or our licensors are compelled to grant a license to a third party, which could materially diminish the value of those patents. In addition, many jurisdictions limit the enforceability of patents against government agencies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do not obtain patent term extension and data exclusivity for any product candidates we may develop, our business may be materially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Depending upon the timing, duration and specifics of any FDA marketing approval of any product candidates we may develop and our technology, one or more U.S. patents that we license or may own in the future may be eligible for limited patent term extension under the Hatch-Waxman Amendments. Under certain circumstances the Hatch-Waxman Amendments permit a patent extension term of up to five years as compensation for patent term lost during the FDA regulatory review process. A patent term extension cannot extend the term of a patent beyond a total of 14 years from the date of product approval, only one patent may be extended and only those claims covering the approved product, a method for using it or a method for manufacturing it may be extended. The application for the extension must be submitted prior to the expiration of the patent for which extension is sought and within 60 days of FDA approval. A patent that covers multiple products for which approval is sought can only be extended in connection with one of the approvals.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patent term extension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the term of any such extension is less than we request, we may be open earlier than projected to competition from competitive products, including generics or biosimilars following our patent expiration, and our revenue could be reduced earlier than projected. Any of the foregoing could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Confidentiality agreements with employees and third parties may not prevent unauthorized disclosure of our trade secrets and other proprietary information. If we are unable to protect the confidentiality of our trade secrets, our business and competitive position would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the protection afforded by patents, we seek to rely on trade secret protection and confidentiality agreements to protect proprietary information and confidential know-how that we elect not to patent, including processes for which patents are difficult to enforce, and any other elements of our product candidates, technology and product discovery, development processes and drug discovery platform that involve proprietary know-how, information, or technology that is not covered by patents. In particular, our trade secrets, confidential know-how and other proprietary information includes our proprietary Native Complex Platform® drug discovery platform, which we do not plan to patent.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Such risk of disclosure can be increased by our use of AI technologies and can result in misappropriation and other security incidents. Because we expect to rely on third parties in the development and manufacture of our product candidates, we must, at times, share trade secrets with them. Our reliance on third parties requires us to share our trade secrets, which increases the possibility that a competitor will discover them or that our trade secrets will be misappropriated or disclosed.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Trade secrets, confidential know-how and proprietary information, however, may be difficult to protect. We seek to protect our trade secrets, confidential know-how and proprietary information, including our proprietary processes and drug discovery platform, in part, by entering into confidentiality agreements with our employees, consultants, outside scientific advisors, contractors, and collaborators. With our consultants, contractors, and outside scientific collaborators, these agreements typically include invention assignment obligations. Although we use reasonable efforts to protect our trade secrets, we cannot provide any assurances that all such agreements have been duly executed, and notwithstanding the existence of a confidentiality agreement our employees, consultants, outside scientific advisors, contractors, and collaborators might intentionally or inadvertently disclose our trade secret information, including to competitors. In addition, competitors or other third parties may otherwise gain access to our trade secrets or independently develop substantially equivalent information and techniques. Despite our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any of our trade secrets were to be lawfully obtained or independently developed by a competitor or other third party, we would have no right to prevent them from using that technology or information to compete with us. Furthermore, the laws of some foreign jurisdictions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 Further, although we maintain cyber liability insurance, this insurance may not provide adequate coverage against potential liabilities related to any experienced cybersecurity incident or data breach.</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intellectual property rights do not necessarily protect against all potential threats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These risks and uncertainties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be able to make compounds or formulations that are similar to our product candidates but that are not covered by the claims of any patents, should they issue, that we own or control;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any strategic partners might not have been the first to make the inventions covered by the issued patents or pending patent applications that we own or control;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might not have been the first to file patent applications covering certain of our product candidates or inventions we own or control;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pending patent applications that we own or control may not lead to issued patents;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issued patents that we own or control may be held invalid or unenforceable as a result of legal challenges;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competitors might conduct research and development activities in the United States and other jurisdictions that provide a safe harbor from patent infringement claims for certain research and development activities, as well as in jurisdictions where we do not have patent rights and then use the information learned from such activities to develop competitive drugs for sale in our major commercial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develop additional proprietary technologies that are patentable;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patents of others may have an adverse effect on our business.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our trademarks and trade names are not adequately protected, we may not be able to build name recognition in our markets of interest and our business may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current or future trademarks or trade names may be challenged, opposed, infringed, circumvented, invalidated, cancelled, declared generic, determined to be not entitled to registration, or determined to be infringing on other marks. During trademark registration proceedings, we may receive rejections of our applications by the USPTO or in foreign jurisdictions. Although we would be given an opportunity to respond to those rejections, we may be unable to overcome such rejections. In addition, in the USPTO and in comparable agencies in many other jurisdictions, third parties are given an opportunity to oppose pending trademark applications and to seek to cancel registered trademarks. Opposition or cancellation proceedings may be filed against our trademarks, and our trademarks may not survive such proceedings. Trademark litigation could be expensive. In addition, we could be found liable for significant monetary damages, including treble damages, disgorgement of profits and attorneys’ fees, if we are found to have willfully infringed a trademark. We may not be able to protect our exclusive right to trademarks or trade names or may be forced to stop using these names,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which we need for name recognition by potential collaborators or customers in our markets of interest. If we are unable to establish name recognition based on our trademarks or trade names, we may not be able to compete effectively and our business may be adversely affected. We may license our trademarks or trade names to third parties, such as distributors. Though these agreements may provide guidelines for how our trademarks or trade names may be used, a breach of these agreements or misuse of our trademarks or tradenames by third parties may jeopardize our rights in or diminish the goodwill associated with our trademarks or trade names.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any name we have proposed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or equivalent body. Furthermore, in many jurisdictions, owning and maintaining a trademark registration may not provide an adequate defense against a subsequent infringement claim asserted by the owner of a senior trademark.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Furthermore, assertions of potential trademark infringement or possible market confusion may lead to coexistence agreements in order to avoid costly disputes related to our trademarks. As a consequence, we may be forced to amend the list of goods and services covered by our trademarks more narrowly than as originally filed and intended, which could adversely affect our ability to establish name recognition.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Rights to improvements to our product candidates may be held by third parties.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course of testing our product candidates, we may enter into agreements with third parties to conduct clinical testing, which may provide that improvements to our product candidates may be owned solely by a third party or jointly between the parties. If we determine that rights to such improvements owned solely by a third party are necessary to commercialize our product candidates or maintain our competitive advantage, we may need to obtain a license from such third party in order to use the improvements and continue developing, manufacturing or marketing the product candidates.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Failure to obtain a license on commercially reasonable terms or at all, or to obtain an exclusive license, could prevent us from commercializing our product candidates or force us to cease some of our business operations, which could materially harm our business. If we determine that rights to improvements jointly owned between us and a third party are necessary to commercialize our product candidates or maintain our competitive advantage, we may need to obtain an exclusive license from such third party. If we are unable to obtain an exclusive license to any such third-party co-owners’ interest in such improvements, such co-owners may be able to license their rights to other parties, including our competitors, and our competitors could market competing products and technology. In addition, we may need the cooperation of any such co-owners of our intellectual property in order to enforce such intellectual property against other parties, and such cooperation may not be provided to us. Any of the foregoing could have a material adverse effect on our competitive position, business, financial conditions, results of operations, and prospects.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do not know whether a market will be sustained for our common stock or what the market price of our common stock will be, and, as a result, it may be difficult for you to sell your shares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our common stock is listed on the Nasdaq Global Market (“Nasdaq”), an active trading market for our common stock may not be sustained. If a market for our common stock is not sustained or if trading volume in our common stock is low, it may be difficult for you to sell your shares of common stock at an attractive price or at all. We cannot predict the prices at which our common stock will trade. It is possible that in one or more future periods our results of operations may be below the expectations of public market analysts and investors, and, as a result of these and other factors, the price of our common stock may fall.</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market price of our common stock may be volatile, which could result in substantial losses for investors purchasing shares.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price for our common stock may be influenced by those factors discussed in this “Risk Factors” section and many others, some of which may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 of existing or new competitive product candidates or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commencement, enrollment, completion and results of preclinical studies and clinical trials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results or delays, suspensions or terminations in future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unanticipated serious safety concerns related to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decision to initiate a clinical trial, not to initiate a clinical trial or to terminate an existing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regulatory decisions, including failure to receive regulatory approval of our product candidates or the failure of a regulatory authority to accept data from preclinical studies or clinical trials conducted in other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commercialize our product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or discontinuation of any of our development and research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results of any preclinical studies, clinical trials or regulatory approvals of product candidates of our competitors, or announcements about new research programs or product candidates of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commencement or termination of collaborations for our product development and research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or disputes concerning patent applications, issued patents or other intellectual property or proprietary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level of expenses related to any of our research programs, clinical development programs or product candidates that we may develop;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anticipated changes in estimates as to financial results, development timelines or recommendations by securities analysts, if any, that cover our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 or expectation of additional financing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our common stock by us, our insiders or other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expiration of market stand-off or lock-up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effectively manage our growth;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anticipated variations in quarterly operating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cash position;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failure to meet the estimates and projections of the investment community or that we may otherwise provide to the public;</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variations in our financial results or those of companies that are perceived to be similar to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accounting practices;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ineffectiveness of our internal controls;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lawsuits, including patent or stockholder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market conditions in the pharmaceutical and biotechnology sectors;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political, industry and market conditions;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other factors described in this “Risk Factors” section.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 stock market in general, and the market for pharmaceutical companies in particular, have experienced extreme price and volume fluctuations that have often been unrelated or disproportionate to the operating performance of these companies. Broad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Future sales, or the perception of future sales, of our common stock in the public market by existing stockholders could cause our stock price to fall.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our existing stockholders sell, or indicate an intention to sell, substantial amounts of our common stock in the public market, the trading price of our common stock could decline. The possibility that these sales may occur, also might make it more difficult for us to sell equity securities in the future at a time and at a price that we deem appropriate.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we had 44,806,272 shares of our common stock outstanding. Shares of unvested restricted stock that were issued and outstanding will become available for sale immediately upon the vesting of such shares, as applicable, and the expiration of any applicable market stand-off or lock-up agreements. Shares issued upon the exercise of stock options pursuant to future awards that may be granted under our equity incentive or inducement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holders of our common stock have rights, subject to some conditions, to require us to file registration statements covering the sale of their shares or to include their shares in registration statements that we may file for ourselves or other stockholders. We have registered the offer and sale of all shares of common stock that we may issue under our equity compensation plans, and those shares are available for sale in the open market, unless such shares are subject to vesting restrictions with us or any applicable lock-up restrictions. Once we register the offer and sale of shares for the holders of registration rights, they can be freely sold in the public market upon issuance, subject to any applicable lock-up agreements.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in the future, we may issue additional shares of our common stock or other equity or debt securities convertible into common stock in connection with a financing, acquisition, litigation settlement, employee arrangements or otherwise. Any such issuance could result in substantial dilution to our existing stockholders and could cause our stock price to decline.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an “emerging growth company” and a “smaller reporting company,” and the reduced reporting requirements applicable to emerging growth companies and smaller reporting companies may make our common stock less attractive to investors.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2022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following the completion of our initial public offering (“IPO”), although circumstances could cause us to lose that status earlier, including if we are deemed to be a “large accelerated filer,” which occurs when the market value of our common stock that is held by non-affiliates exceeds $700.0 million as of the prior June 30, or if we have total annual gross revenue of $1.235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 For so long as we remain an emerging growth company, we are permitted and intend to rely on exemptions from certain disclosure requirements that are applicable to other public companies that are not emerging growth companies. These exemptions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being required to comply with the auditor attestation requirements of Section 404 of the Sarbanes-Oxley Act;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being required to comply with the requirements of the Public Company Accounting Oversight Board regarding the communication of critical audit matters in the auditor’s report on the financial statements.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reduced disclosure obligations regarding executive compensation in our periodic reports and proxy statements;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exemptions from the requirements of holding a nonbinding advisory vote on executive compensation and stockholder approval of any golden parachute payments not previously approved.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JOBS Act provides that an emerging growth company can also take advantage of an extended transition period for complying with new or revised accounting standards until such time as those standards apply to private companies. We have elected to avail ourselves of this exemption from new or revised accounting standards, and therefore, while we are an emerging growth company, we will not be subject to the same requirements to adopt new or revised accounting standards as other public companies that are not emerging growth companies. As a result of this election, our financial statements may not be comparable to those of other public companies that comply with new or revised accounting pronouncements as of public company effective 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also a “smaller reporting company” as defined in the Exchange Act, and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 We may continue to be a smaller reporting company even after we are no longer an emerging growth company, which would allow us to take advantage of many of the same exemptions from disclosure requirements and reduced disclosure obligations regarding executive compensation in this Annual Report and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have incurred and will continue to incur significant increased costs as a result of operating as a public company, and our management is required to devote substantial time to new compliance initiatives and corporate governance practices.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public company, we have incurred and will continue to incur significant legal, accounting and other expenses that we did not incur as a private company, and these expenses may increase even more after we are no longer an “emerging growth company.”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reporting controls and changes in corporate governance practices. Further, in July 2010, the Dodd-Frank Wall Street Reform and Consumer Protection Act (“Dodd-Frank Act”) was enacted. There are significant corporate governance and executive compensation related provisions in the Dodd-Frank Act that require the SEC to adopt additional rules and regulations in these areas such as “say on pay” and proxy access. Recent legislation permits emerging growth companies to implement many of these requirements over a longer period and up to the fifth anniversary of our IPO.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Insiders have substantial influence over us, which could limit your ability to affect the outcome of key transactions, including a change of control.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the beneficial ownership of our common stock as of December 31, 2025, our directors and executive officers, holders of 5% or more of our capital stock and their respective affiliates beneficially own a significant percentage of our outstanding common stock. These stockholders, if they act together, will be able to influence our management and affairs and all matters requiring stockholder approval. For example, these stockholders may be able to control elections of directors, amendments of our organizational documents or approval of any merger, sale of assets or other major corporate transaction. This concentration of ownership may have the effect of delaying or preventing a change in control of our company and might affect the market price of our common stock.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do not expect to pay any dividends for the foreseeable future. Investors may never obtain a return on their investment.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You should not rely on an investment in our common stock to provide dividend income. We have never declared or paid cash dividends on shares of our common stock and do not anticipate that we will pay any dividends to holders of our common stock in the foreseeable future. Instead, we plan to retain any earnings to maintain and expand our existing operations. In addition, any future credit facility may contain terms prohibiting or limiting the amount of dividends that may be declared or paid on our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Accordingly, investors must rely on sales of their common stock after price appreciation, which may never occur, as the only way to realize any return on their investment. As a result, investors seeking cash dividends should not purchase our common stock.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maintain proper and effective internal control over financial reporting, our operating results and our ability to operate our business could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in the United States (“U.S. GAAP"). As a public company, we are required to incur additional costs and obligations in order to comply with SEC rules that implement Section 404 of the Sarbanes-Oxley Act. Under these rules, beginning with our second Annual Report on Form 10-K after we become a public company, we are required to make a formal assessment of the effectiveness of our internal control over financial reporting, and once we cease to be an emerging growth company, we may be required to include an attestation report on internal control over financial reporting issued by our independent registered public accounting firm. We are engaged in the process of documenting, reviewing and improving our internal controls and procedures for compliance with Section 404 of the Sarbanes-Oxley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cause investors to lose confidence in the accuracy and completeness of our financial reports and could cause the market price of our common stock to decline significantly.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experience material weaknesses in the future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in the future discover material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stock exchange on which our common stock is listed, the SEC or other regulatory authorities.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Provisions in our amended and restated certificate of incorporation and amended and restated bylaws and Delaware law may have anti-takeover effects that could discourage an acquisition of us by others, even if an acquisition would be beneficial to our stockholders, and may prevent attempts by our stockholders to replace or remove our current management.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certificate of incorporation and amended and restated bylaws and Delaware law contain provisions that may have the effect of discouraging, delaying or preventing a change in control of us or changes in our management that stockholders may consider favorable, including transactions in which you might otherwise receive a premium for your shares. Our amended and restated certificate of incorporation and amended and restated bylaws include provisions that: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authorize “blank check” preferred stock, which could be issued by our board of directors without stockholder approval and may contain voting, liquidation, dividend and other rights superior to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create a classified board of directors whose members serve staggered three-year terms;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specify that special meetings of our stockholders can be called only by our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prohibit stockholder action by written consent;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an advance notice procedure for stockholder approvals to be brought before an annual meeting of our stockholders, including proposed nominations of persons for election to our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that vacancies on our board of directors may be filled only by a majority of directors then in office, even though less than a quorum;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that our directors may be removed only for cause;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specify that no stockholder is permitted to cumulate votes at any election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expressly authorized our board of directors to make, alter, amend or repeal our amended and restated bylaws;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 supermajority votes of the holders of our common stock to amend specified provisions of our amended and restated certificate of incorporation and amended and restated bylaws.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provisions, alone or together, could delay or prevent hostile takeovers and changes in control or changes in our management. These provisions could also limit the price that investors might be willing to pay in the future for shares of our common stock, thereby depressing the market price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because we are incorporated in the State of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amended and restated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bylaws provide that, unless we consent in writing to an alternative forum, the Court of Chancery of the State of Delaware will be the sole and exclusive forum for any state law claims for (i) any derivative action or proceeding brought on our behalf, (ii) any action asserting a claim of breach of, or a claim based on, fiduciary duty owed by any of our current or former directors, officers, and employees to us or our stockholders, (iii) any action asserting a claim arising pursuant to any provision of the Delaware General Corporation Law, our amended and restated certificate of incorporation or our amended and restated bylaws (including the interpretation, validity or enforceability thereof) or (iv) any action asserting a claim that is governed by the internal affairs doctrine (“Delaware Forum Provision”). The Delaware Forum Provision will not apply to any causes of action arising under the Securities Act or the Exchange Act. Our amended and restated bylaws further provide that, unless we consent in writing to the selection of an alternative forum, the federal district courts of the United States shall be the sole and exclusive forum for resolving any complaint asserting a cause or causes of action arising under the Securities Act (“Federal Forum Provision”).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Delaware Forum Provision and the Federal Forum Provision in our amended and restated bylaws may impose additional litigation costs on stockholders in pursuing any such claims. Additionally, the forum selection clauses in our amended and restated bylaws may limit our stockholders’ ability to bring a claim in a judicial forum that they find favorable for disputes with us or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directors, officers or employees, which may discourage such lawsuits against us and our directors, officers and employees even though an action, if successful, might benefit our stockholders. In addition,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both"/>
        <w:rPr>
          <w:rFonts w:ascii="Times New Roman" w:hAnsi="Times New Roman"/>
          <w:sz w:val="20"/>
        </w:rPr>
      </w:pPr>
      <w:r>
        <w:rPr>
          <w:rFonts w:ascii="Times New Roman" w:hAnsi="Times New Roman"/>
          <w:b/>
          <w:i/>
          <w:color w:val="000000"/>
          <w:sz w:val="20"/>
        </w:rPr>
        <w:t>Unfavorable global economic conditions,</w:t>
      </w:r>
      <w:r>
        <w:rPr>
          <w:rFonts w:ascii="Times New Roman" w:hAnsi="Times New Roman"/>
          <w:color w:val="000000"/>
          <w:sz w:val="20"/>
        </w:rPr>
        <w:t xml:space="preserve"> </w:t>
      </w:r>
      <w:r>
        <w:rPr>
          <w:rFonts w:ascii="Times New Roman" w:hAnsi="Times New Roman"/>
          <w:b/>
          <w:i/>
          <w:color w:val="000000"/>
          <w:sz w:val="20"/>
        </w:rPr>
        <w:t>political instability and geopolitical events could adversely affect our business, financial condition, stock price,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could be adversely affected by unstable economic and political conditions within the United States and foreign jurisdictions, including as a result of an economic downturn and geopolitical events, such as changes in or disruptions of U.S. governmental agencies, whether from a prolonged U.S. federal government shutdown or reduced resources, disruptions in capital markets, the potential for significant changes in U.S. federal policies or regulatory environment or other factors that affect the geopolitical landscape. The global credit and financial markets have also generally experienced extreme volatility and disruptions (including as a result of actual or perceived changes in interest rates, inflation and macroeconomic uncertainties), which has included severely diminished liquidity and credit availability, declines in consumer confidence, declines in economic growth, high inflation, changes in interest rates, uncertainty about economic stability, global supply chain disruptions, and increases in unemployment rates. There can be no assurance that further deterioration in credit and financial markets and confidence in economic conditions will not occur. A severe or prolonged economic downturn could result in a variety of risks to our business, including a decrease in the demand for our product candidates and in our ability to raise additional capital when needed on acceptable terms, if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financial markets and the global economy may also be adversely affected by the current or anticipated impact of military conflicts, such as the ongoing conflicts between Russia and Ukraine, and Israel and Hamas, terrorism, or other geopolitical events. Sanctions imposed by the United States and other countries in response to such conflicts, including the one in Ukraine, may also continue to adversely impact the financial markets and the global economy, and any economic countermeasures by the affected countries or others could exacerbate market and economic instability. Additionally, changes to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For example, the implementation of tariffs by the U.S. government has led to increased trade and political tensions, between not only the U.S. and China, but also between the U.S. and other countries in the international community.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For example, the BIOSECURE Act signed into law as part of the recently-enacted NDAA may restrict the ability of United States pharmaceutical companies to purchase services or products from, or otherwise collaborate with, certain Chinese biotechnology companies of concern without losing the ability to contract with, or otherwise receive funding from, the United States government. We continue to assess the legislation as it develops to determine whether it could have an effect on our contractual relationships. Any changes in political, trade, regulatory, and economic conditions, including U.S. trade policies, could have a material adverse effect on our financial condition or results of operations.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any disruptions to our supply chain as a result of unfavorable global economic conditions, including due to geopolitical conflicts or public health crises, could negatively impact the timely execution of our ongoing and future clinical trials. In addition,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 We cannot anticipate all of the ways in which the foregoing, and the current economic climate and financial market conditions generally, could adversely impact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our Company,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delayed access to deposits or other financial assets or the uninsured loss of deposits or other financial assets;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or actual breach of statutory, regulatory or contractual obligations, including obligations that require us to maintain letters of credit or other credit support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termination of cash management arrangements and/or delays in accessing or actual loss of funds subject to cash management arrangements.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investor concerns regarding the United States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our current and/or planned business operations, and our current or projected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any further deterioration in the macroeconomic economy or financial services industry could lead to losses or defaults by our suppliers, which in turn, could have a material adverse effect on our current and/or planned business operations and our current or projected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the Company, including but not limited to delayed access or loss of access to uninsured deposits or loss of the ability to draw on existing credit facilities involving a troubled or failed financial institution. Any customer, collaborator or supplier bankruptcy or insolvency, or the failure of any customer or collaborator to make payments when due, or any breach or default by a customer, collaborator or supplier, or the loss of any significant supplier or collaborator relationships, could result in material losses to the Company and may have a material adverse impact on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securities analysts do not publish research or reports about our business or if they publish negative evaluations of our stock, the price of our stock could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trading market for our common stock will depend in part on the research and reports that industry or financial analysts publish about us or our business. If one or more of the analysts covering our business downgrade their evaluations of our stock or publishes inaccurate or unfavorable research bout our business, the price of our stock could decline. If one or more of these analysts ceases coverage of our company or fails to publish reports on us regularly, we could lose visibility in the market for our stock, which in turn could cause our stock price and trading volume to decline.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become involved in litigation and investigations that could divert management’s attention and harm our business, and insurance coverage may not be sufficient to cover all costs and damages.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we may be subject to litigation claims and investigations from the SEC and other government agencies through the ordinary course of our business operations regarding, but not limited to, securities litigation, employment matters, security of patient and employee personal data, government-issued subpoenas, contractual relations with collaborators and licensors and intellectual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rights. In the past, securities class action litigation has often followed certain significant business transactions, such as the sale of a company or announcement of any other strategic transaction, the announcement of negative events, such as negative results from clinical trials, or periods of volatility in the market price of a company’s securities. These events may also result in or be concurrent with investigations by the SEC (which may not be publicly disclosed by the SEC or by us, particularly where the SEC or investigating body has made it clear that no wrongdoing has been alleged). In addition, we may be exposed to litigation or investigation even if no wrongdoing has occurred. Responding to litigations and investigations is usually expensive, and our insurance coverage many not be sufficient to cover the legal costs for doing so, as well as any damages for which we are ultimately held responsible. In addition, responding to a litigation or an investigation diverts management’s attention and resources, which could adversely affect our business and cash resources and our ability to consummate a potential strategic transaction or the ultimate value our stockholders receive in any such transaction.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insurance policies are expensive and only protect us from some business risks, which will leave us exposed to significant uninsured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we maintain commercial insurance at a level we believe is appropriate against certain risks commonly insured in the industry in which we operate, there is no guarantee that our insurer will cover costs or that we will be able to obtain the desired level of coverage on acceptable terms in the future. Some of the policies we currently maintain include property, general liability, crime insurance, workers’ compensation, and directors’ and officers’, employment practices and fiduciary liability insurance, clinical trial insurance, transportation insurance and umbrella insurance. We do not know, however, if we will be able to maintain insurance with adequate levels of coverage. Changes in the market conditions and our business operations may necessitate the addition of new insurance policies or change of our existing insurance policies. Any significant uninsured liability may require us to pay substantial amounts, which would adversely affect our financial position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operations are vulnerable to interruption by disasters, terrorist activity, pandemics and other events beyond our control, which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facilities are located in California. We have not undertaken a systematic analysis of the potential consequences to our business and financial results from a major flood, power loss, terrorist activity, pandemics or other regional or global disasters and generally do not have a recovery plan for such events.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Increased attention to, and evolving expectations for, environmental, social, and governance initiatives could increase our costs, harm our reputation, or otherwise adversely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Companies across industries are facing increasing scrutiny from a variety of stakeholders related to their environmental, climate change, social, and governance (“ESG”) and sustainability practices. Investor advocacy groups, certain institutional investors, investment funds, and other influential investors have increasingly focused on ESG practices and have placed increasing importance on the non-financial impacts of their investments. Expectations regarding voluntary ESG initiatives and disclosures may result in increased costs (including but not limited to increased costs related to compliance, stakeholder engagement, contracting and insurance), enhanced compliance or disclosure obligations, or other adverse impacts to our business, financial condition, or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we may at times engage in voluntary initiatives (such as voluntary disclosures, certifications, or goals, among others) to improve the ESG profile of the Company, such initiatives may be costly and may not have the desired effect. Moreover, we may not be able to successfully complete such initiatives due to factors that are within or outside of our control. Even if this is not the case, our actions may subsequently be determined to be insufficient by various stakeholders, and we may be subject to investor or regulator engagement on our ESG efforts, even if such initiatives are currently voluntary.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market participants, including major institutional investors and capital providers, use third-party benchmarks and scores to assess companies’ ESG profiles in making investment or voting decisions. Unfavorable ESG ratings could lead to increased negative investor sentiment towards us, which could negatively impact our share price as well as our access to and cost of capital. In addition, in recent years “anti-ESG” sentiment has gained momentum across the United States, with several states and Congress having proposed or enacted “anti-ESG” policies, legislation, or initiatives or issued related legal opinions, and the President having issued an executive order opposing diversity equity and inclusion (“DEI”) initiatives in the private sector. Such anti-ESG and anti-DEI-related policies, legislation, initiatives, litigation, legal opinions, and scrutiny could result in us facing additional compliance obligations, becoming the subject of investigations and enforcement actions, or sustaining reputational harm. Therefore, to the extent we take actions that are seen as positive to some investors, other investors may take issue with such actions or face regulatory pressure to refrain from investing in, or divest from, our business. To the extent ESG matters negatively impact our reputation, it may also impede our ability to compete as effectively to attract and retain employees, which may adversely impact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we expect there will likely be increasing levels of regulation, disclosure-related and otherwise, with respect to ESG matters. For example, the SEC has issued rules that require companies to provide significantly expanded climate-related disclosures in their periodic reporting. The new climate disclosure rules were the subject of multiple legal challenges, and the SEC voluntarily stayed the climate disclosure rules pending the completion of judicial review. Therefore, it is unknown whether the new rules will go into effect and if they do, whether there will be significant changes. If the new rules go into effect and are not substantially different than the rules adopted by the SEC, we may be required to incur significant additional costs to comply, including the implementation of significant additional internal controls processes and procedures regarding matters that have not been subject to such controls in the past, and impose increased oversight obligations on our management and board of directors. Even if the SEC rules are not adopted, states or ex-U.S. jurisdictions in which we currently or may in the future operate may also have or adopt ESG or climate-related disclosure rules requiring similar or broader disclosure obligations. These and other changes in stakeholder expectations will likely lead to increased costs as well as scrutiny that could heighten all of the risks identified in this risk factor. Additionally, our business partners may be subject to similar expectations, which may augment or create additional risks, including risks that may not be known to us.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increasing use of social media platforms presents risks and challenges.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 candidates, operations, or business may cause us to be found in violation of applicable legal or contractual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collaboration partners, and others, and which could have an adverse effect on our business, financial conditions and results of operations. Furthermore, negative posts or comments about us or our product candidates in social media could seriously damage our reputation, brand image and goodwill.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it is possible for individuals or groups to target companies with disruptive social media campaigns related to a request for access to unapproved drugs for patients with significant unmet medical need. If we experience a similar social media campaign regarding our decision to provide or not provide access to our product candidates under an expanded access policy, our reputation may be negatively affected and our business may be harmed.</w:t>
      </w:r>
    </w:p>
    <w:p>
      <w:pPr>
        <w:pStyle w:val="TextBody"/>
        <w:bidi w:val="0"/>
        <w:spacing w:before="360" w:after="283"/>
        <w:jc w:val="both"/>
        <w:rPr>
          <w:rFonts w:ascii="Times New Roman" w:hAnsi="Times New Roman"/>
          <w:b/>
          <w:color w:val="000000"/>
          <w:sz w:val="20"/>
        </w:rPr>
      </w:pPr>
      <w:bookmarkStart w:id="8" w:name="item_1b_unresolved_staff_comments"/>
      <w:bookmarkEnd w:id="8"/>
      <w:r>
        <w:rPr>
          <w:rFonts w:ascii="Times New Roman" w:hAnsi="Times New Roman"/>
          <w:b/>
          <w:color w:val="000000"/>
          <w:sz w:val="20"/>
        </w:rPr>
        <w:t>Item 1B. Unresolved Staff Comments.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9" w:name="item_1c_cybersecurity"/>
      <w:bookmarkEnd w:id="9"/>
      <w:r>
        <w:rPr>
          <w:rFonts w:ascii="Times New Roman" w:hAnsi="Times New Roman"/>
          <w:b/>
          <w:color w:val="000000"/>
          <w:sz w:val="20"/>
        </w:rPr>
        <w:t>Item 1C. Cybersecurity.</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Cybersecurity Risk Management and Strategy</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We have implemented a cybersecurity risk management program in accordance with our risk profile and business size that is informed by recognized industry standards, including elements of the National Institute of Standards and Technology Cybersecurity Framework and International Organization for Standardization 27001 Framework.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cybersecurity risk management program is comprised of a number of components, including but not limited to written information security policies, external cybersecurity risk assessments, and system monitoring. We also have an employee privacy and data security training awareness program that includes cybersecurity risk awareness trainings and phishing campaigns. We maintain an incident response plan to help guide our response to cybersecurity incidents.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leverage the cybersecurity services of third-party vendors, including a third-party managed services provider and IT consultants, to support our cybersecurity risk management program and assist us in conducting external cybersecurity risk assessments. As part of our cybersecurity risk management program, we take a risk-based approach to the evaluation of third-party vendors. As part of our vendor diligence process we require vendors with access to our information technology systems and infrastructure to complete information security program questionnaires.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not identified any cybersecurity incidents or threats that have materially affected us or are reasonably likely to materially affect us, including our business strategy, results of operations or financial condition. However, like other companies in our industry, we and our third-party vendors have from time to time experienced threats relating to our and our third-party vendors’ information systems and infrastructure. For more information, please see “Item 1A, Risk Factors.”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Governance Related to Cybersecurity Risks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Our board of directors has delegated cybersecurity risk management to our Audit Committee as part of the Audit Committee’s general risk oversight function. The Audit Committee, through the oversight of the General Administrative Leadership team, is responsible for overseeing the Company’s cybersecurity risk management processes, including oversight of mitigation of risks from cybersecurity threats.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cybersecurity risk assessment and management processes are implemented and maintained by our General Administrative Leadership team, which consists of our CEO, CFO, COO, CPO, CLO, Vice President of Finance and Business, Vice President of Technology and our Head of Information Technology (“IT”), and is responsible for the strategic leadership of our cybersecurity risk management program. Our Head of IT, who also serves as our Information Security Officer, is responsible for the day-to-day management of our cybersecurity risk management program. The individual who is currently in this role has over thirty years of experience in information technology and cybersecurity risk management. Our Head of IT relies on both internal and external cybersecurity resources to manage and remain appraised of overall cybersecurity risks to our business and our industry.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General Administrative Leadership team provides regular briefings regarding cybersecurity risk and related matters to our Audit Committee. Such briefings may include a discussion of cybersecurity risks and applicable risk assessments, key updates regarding our cyber strategy and related initiatives, and the emerging cybersecurity threats that may impact our business. We also provided the full board of directors with updates on matters relating to cybersecurity risk management, as necessary.</w:t>
      </w:r>
    </w:p>
    <w:p>
      <w:pPr>
        <w:pStyle w:val="TextBody"/>
        <w:bidi w:val="0"/>
        <w:spacing w:before="120" w:after="283"/>
        <w:jc w:val="both"/>
        <w:rPr>
          <w:rFonts w:ascii="Times New Roman" w:hAnsi="Times New Roman"/>
          <w:b/>
          <w:color w:val="000000"/>
          <w:sz w:val="20"/>
        </w:rPr>
      </w:pPr>
      <w:bookmarkStart w:id="10" w:name="item_2_properties"/>
      <w:bookmarkEnd w:id="10"/>
      <w:r>
        <w:rPr>
          <w:rFonts w:ascii="Times New Roman" w:hAnsi="Times New Roman"/>
          <w:b/>
          <w:color w:val="000000"/>
          <w:sz w:val="20"/>
        </w:rPr>
        <w:t>Item 2. Properties.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corporate headquarters are located in South San Francisco, California, where we lease and occupy approximately 44,819 square feet of combined office, research and laboratory space at 250 East Grand Avenue, South San Francisco, California 94080. The current term of our lease expires in July 2032.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that our existing facilities are adequate for our current needs and for the foreseeable future. To meet the future needs of our business, we may lease additional or alternate space. We believe that suitable additional or substitute space at commercially reasonable terms will be available as needed to accommodate any future expansion of our operations. </w:t>
      </w:r>
    </w:p>
    <w:p>
      <w:pPr>
        <w:pStyle w:val="TextBody"/>
        <w:bidi w:val="0"/>
        <w:spacing w:before="360" w:after="283"/>
        <w:jc w:val="both"/>
        <w:rPr>
          <w:rFonts w:ascii="Times New Roman" w:hAnsi="Times New Roman"/>
          <w:b/>
          <w:color w:val="000000"/>
          <w:sz w:val="20"/>
        </w:rPr>
      </w:pPr>
      <w:bookmarkStart w:id="11" w:name="item_3_legal_proceedings"/>
      <w:bookmarkEnd w:id="11"/>
      <w:r>
        <w:rPr>
          <w:rFonts w:ascii="Times New Roman" w:hAnsi="Times New Roman"/>
          <w:b/>
          <w:color w:val="000000"/>
          <w:sz w:val="20"/>
        </w:rPr>
        <w:t>Item 3.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become involved in or be subject to legal proceedings, claims and litigation arising from the ordinary course of business.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pStyle w:val="TextBody"/>
        <w:bidi w:val="0"/>
        <w:spacing w:before="360" w:after="283"/>
        <w:jc w:val="both"/>
        <w:rPr>
          <w:rFonts w:ascii="Times New Roman" w:hAnsi="Times New Roman"/>
          <w:b/>
          <w:color w:val="000000"/>
          <w:sz w:val="20"/>
        </w:rPr>
      </w:pPr>
      <w:bookmarkStart w:id="12" w:name="item_4_mine_safety_disclosures"/>
      <w:bookmarkEnd w:id="12"/>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3" w:name="part_ii"/>
      <w:bookmarkEnd w:id="13"/>
      <w:r>
        <w:rPr>
          <w:rFonts w:ascii="Times New Roman" w:hAnsi="Times New Roman"/>
          <w:b/>
          <w:color w:val="000000"/>
          <w:sz w:val="20"/>
        </w:rPr>
        <w:t>PART II</w:t>
      </w:r>
    </w:p>
    <w:p>
      <w:pPr>
        <w:pStyle w:val="TextBody"/>
        <w:bidi w:val="0"/>
        <w:spacing w:before="240" w:after="283"/>
        <w:jc w:val="both"/>
        <w:rPr>
          <w:rFonts w:ascii="Times New Roman" w:hAnsi="Times New Roman"/>
          <w:b/>
          <w:color w:val="000000"/>
          <w:sz w:val="20"/>
        </w:rPr>
      </w:pPr>
      <w:bookmarkStart w:id="14" w:name="item_5_market_for_registrants_common"/>
      <w:bookmarkEnd w:id="14"/>
      <w:r>
        <w:rPr>
          <w:rFonts w:ascii="Times New Roman" w:hAnsi="Times New Roman"/>
          <w:b/>
          <w:color w:val="000000"/>
          <w:sz w:val="20"/>
        </w:rPr>
        <w:t>Item 5. Market for Registrant’s Common Equity, Related Stockholder Matters and Issuer Purchases of Equity Securities.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common stock began trading on the Nasdaq Global Market under the symbol “SEPN” on October 25, 2024. Prior to this date, there was no public trading market for our common stock.</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Common Stock 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2, 2026, we had approximately 60 holders of record of our common stock. The approximate number of holders is based upon the actual number of holders registered in our records at such date and excludes holders in “street name” or persons, partnerships, associations, corporations, or other entities identified in security positions listings maintained by depository trust companies.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Dividends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declared or paid cash dividends on our capital stock since our inception. We intend to retain future earnings, if any, to finance the operation and expansion of our business and do not anticipate paying any cash dividends to holders of common stock in the foreseeable future. Any future determination regarding the declaration and payment of dividends, if any, will be at the discretion of our board of directors, subject to applicable laws, and will depend on then-existing conditions, including our financial condition, operating results, contractual restrictions, capital requirements, business prospects and other factors our board of directors may deem relevant. In addition, our ability to pay cash dividends on our capital stock in the future may be limited by the terms of any future debt or preferred securities we issue or any credit facilities we enter into.</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Securities Authorized for Issuance Under Equity Compensation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Information about securities authorized for issuance under our equity compensation plans is incorporated herein by reference to Part III, Item 12 of this Annual Report on Form 10-K (this “Annual Report”).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Use of Proceeds from our IPO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24, 2024, our Registration Statement on Form S-1 (File No. 333-282469), as amended, relating to our IPO was declared effective by the Securities and Exchange Commission (the “SEC”) (the “Registration Statement”). Pursuant to the Registration Statement, we registered the offer and sale of 18,400,000 shares of our common stock. On October 28, 2024, we closed our IPO, pursuant to which we issued and sold 18.4 million shares of common stock at the public offering price of $18.00 per share, which included 2.4 million shares of our common stock issued and sold on October 30, 2024 to the underwriters pursuant to the full exercise of their option to purchase additional shares of our common stock, at the public offering price of $18.00 per share. Pursuant to the IPO, we received gross proceeds of $331.2 million, which resulted in net proceeds to us of $302.8 million, after deducting underwriting discounts and commissions and other offering costs payable by us of $28.4 million. J.P. Morgan Securities LLC, TD Securities (USA) LLC, Cantor Fitzgerald &amp; Co. and Wells Fargo Securities, LLC acted as joint book-running managers for the IPO.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net proceeds from our IPO have been invested according to our approved investment policy in a mix of money market funds and high-quality, fixed income securities. Our planned use of the net proceeds from the IPO as described in our final prospectus filed with the SEC pursuant to Rule 424(b)(4) under the Securities Act of 1933, as amended (the “Securities Act”) on October 25, 2024 has changed due to the discontinuation of the development of our prior lead product candidate, SEP-786. As a result, we currently expect to use our cash, cash equivalents and marketable securities, which include the net proceeds from the IPO, to advance SEP-479 and SEP-631 in clinical development, continue to advance the other programs in our pipeline, and the remainder to fund working capital and other general corporate purposes.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Series B Convertible Preferred Stock Financing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year ended December 31, 2024, we sold an aggregate of 60,828,732 shares of our Series B convertible preferred stock, at a purchase price of $1.23297 per share, for an aggregate amount of $75 million. We incurred $0.1 million in issuance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 underwriters were involved in the foregoing sale of securities. The sale of securities described above were deemed to be exempt from registration pursuant to Section 4(a)(2) of the Securities Act, including Regulation D and Rule 506 promulgated thereunder, as transactions by an issuer not involving a public offering. All of the purchasers in these transactions represented to us, in connection with their purchase, that they were acquiring the securities for investment and not distribution, that they could bear the risks of the investment and could hold the securities for an indefinite period of time. Such purchasers received written disclosures that the securities had not been registered under the Securities Act and that any resale must be made pursuant to a registration or an available exemption from such registration. All of the foregoing securities are deemed restricted securities for the purposes of the Securities Act.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Purchases of Equity Securities by the Issuer and Affiliated Purchasers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120"/>
        <w:jc w:val="both"/>
        <w:rPr>
          <w:rFonts w:ascii="Times New Roman" w:hAnsi="Times New Roman"/>
          <w:b/>
          <w:color w:val="000000"/>
          <w:sz w:val="20"/>
        </w:rPr>
      </w:pPr>
      <w:bookmarkStart w:id="15" w:name="item_6_reserved"/>
      <w:bookmarkEnd w:id="15"/>
      <w:r>
        <w:rPr>
          <w:rFonts w:ascii="Times New Roman" w:hAnsi="Times New Roman"/>
          <w:b/>
          <w:color w:val="000000"/>
          <w:sz w:val="20"/>
        </w:rPr>
        <w:t>Item 6. [Reserved]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6" w:name="item_7_managements_discussion"/>
      <w:bookmarkEnd w:id="16"/>
      <w:r>
        <w:rPr>
          <w:rFonts w:ascii="Times New Roman" w:hAnsi="Times New Roman"/>
          <w:b/>
          <w:color w:val="000000"/>
          <w:sz w:val="20"/>
        </w:rPr>
        <w:t>Item 7. Management’s Discussion and Analysis of Financial Condition and Results of Operations.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audited financial statements and related notes included elsewhere in this Annual Report. This discussion and other parts of this Annual Report contain forward-looking statements based upon current beliefs, plans, and expectations related to future events and our future financial performance that involve risks, uncertainties and assumptions, such as statements of our plans, objectives, expectations, intentions, forecasts and projections. Our actual results and the timing of selected events could differ materially from those discussed in these forward-looking statements as a result of several factors including, but not limited to, those set forth under the section titled “Risk Factors” and elsewhere in this Annual Report. Our historical results are not necessarily indicative of the results that may be expected for any period in the future, and you should carefully read the section titled “Risk Factors” to gain an understanding of the important factors that could cause actual results to differ materially from our forward-looking statements. Please also see the section titled “Special Note Regarding Forward-Looking Statements.”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clinical-stage biotechnology company pioneering a new era of GPCR oral small molecule drug discovered powered by our proprietary Native Complex Platform®. Our industrial-scale platform aims to unlock the full potential of GPCR therapies and has led to the discovery and development of our deep pipeline of drug candidates focused initially on treating patients in three therapeutic areas: endocrinology, immunology and inflammation, and metabolic diseases.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proprietary Native Complex Platform® replicates the natural structure, function, and dynamics of GPCRs outside of cells at an industrial scale for, as we believe it, the first time. Our foundational technologies enable us to isolate, purify, and reconstitute full-length, properly folded GPCR proteins within ternary complexes with ligands and transducer proteins in a lipid bilayer that mimics the cell membrane. We then apply state-of-the-art discovery tools and technologies to these defined and tunable protein complexes to structurally design, screen for, and optimize potential product candidates. Leveraging our platform, we conduct GPCR oral small molecule drug discovery using an industrialized and iterative structure-based drug design approach for a diverse collection of GPCR targets. Our Native Complex Platform® is designed to enable us to target specific GPCRs, uncover novel binding pockets for validated receptors, and pursue a wide spectrum of pharmacologies, including agonists (which activate GPCR signaling), antagonists (which inhibit GPCR signaling), and allosteric modulators (which either increase or decrease the degree of GPCR activation by endogenous ligands), to affect GPCR signaling in different ways to achieve desired therapeutic effects.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advancing a deep portfolio of oral small molecule GPCR-targeted programs with novel mechanistic approaches to treat diseases across multiple therapeutic areas for patients with significant unmet needs. Our wholly-owned pipeline is summarized in the figure below. </w:t>
      </w:r>
    </w:p>
    <w:p>
      <w:pPr>
        <w:pStyle w:val="TextBody"/>
        <w:bidi w:val="0"/>
        <w:jc w:val="center"/>
        <w:rPr/>
      </w:pPr>
      <w:r>
        <w:rPr/>
        <w:t> </w:t>
      </w:r>
    </w:p>
    <w:p>
      <w:pPr>
        <w:pStyle w:val="TextBody"/>
        <w:bidi w:val="0"/>
        <w:jc w:val="center"/>
        <w:rPr/>
      </w:pPr>
      <w:r>
        <w:rPr/>
        <w:drawing>
          <wp:inline distT="0" distB="0" distL="0" distR="0">
            <wp:extent cx="6858000" cy="3286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858000" cy="3286125"/>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Financial Overview</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were incorporated in Delaware in December 2019 under the name GPCR NewCo, Inc. In June 2021, we changed our name to Septerna, Inc. We are headquartered in South San Francisco, California.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significant operating losses since our inception, except for the year ended December 31, 2023. Our revenue to date has been generated solely from research services. Since our founding, we have devoted substantially all of our resources to organizing and staffing our company, business planning, raising capital, developing our proprietary and structure-based drug discovery platform, identifying and discovering our product candidates, establishing our intellectual property portfolio, conducting research and preclinical studies, including investigational new drug(“IND”)-enabling studies, initiating and conducting clinical trials, establishing arrangements with third parties for the manufacture of our product candidates and related raw materials, and providing general and administrative support for these operations. We have not had any products approved for sale and have not generated any revenue from product sales. Further, we do not expect to generate revenue from commercial product sales until such time, if ever, that we are able to successfully complete the development and obtain marketing approval for one or more of our product candidates. Our ability to generate product revenue will depend on the successful development and eventual commercialization of one or more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net loss was $48.9 million for the year ended December 31, 2025 compared to net loss of $71.8 million for the year ended December 31, 2024. As of December 31, 2025, we had an accumulated deficit of $167.3 million. We have incurred net losses in each year since inception, except for the year ended December 31, 2023. We expect to continue to incur net losses for the foreseeable future. Our net losses may fluctuate significantly from period to period, depending on the timing and expenditures of our operational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to continue to incur significant and increasing net operating losses for the next several years as we: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advance our product candidates through preclinical studies and into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attract, hire and retain additional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operate as a public company, including expenses related to compliance with the rules and regulations of the SEC and those of any national securities exchange on which our securities are traded, legal, auditing, insurance expenses, investor relations activities, and other administrative and professional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our research and development efforts and expand our pipeline of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acquire, discover, validate, and develop additional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manufacture supplies for our preclinical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 maintain, expand, and protect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implement operational, financial and information management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make royalty, milestone or other payments under any future, license or collaboration agreements;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potentially seek to identify, assess, acquire, or in-license or develop new technologies or additional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potentially experience any delays, challenges, or other issues associated with the clinical development of our product candidates, including with respect to our regulatory strategies;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pursue regulatory approval of product candidates that successfully complete clinical trials;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 sales, marketing and distribution infrastructure to commercialize any product candidate for which we may obtain marketing approval and related commercial manufacturing build-out.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net losses may fluctuate significantly from period to period, depending upon the timing of our expenditures on research and development activities. Cash used to fund operating expenses is impacted by the timing of when we pay these expenses, as reflected in the change in our accounts payable and accrued expenses and other current liabilities, which includes accrued research and development, in the statements of cash flows in our audited financial statements included elsewhere in this Annual Report.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we will require substantial additional funding to further develop our product candidates and support our continuing operations. Until such time, if ever, as we can generate substantial product revenue, we expect to finance our operations through a combination of equity offerings, debt financings, collaborations, strategic alliances and marketing, distribution or licensing arrangements. See the section titled “Liquidity and Capital Resources - Future Funding Requirements” below for additional information.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historically financed our operations primarily through the issuances of convertible promissory notes and convertible preferred stock, an initial public offering (“IPO”), and collaborations with other companies. In October 2024, we completed our IPO, pursuant to which we issued and sold an aggregate of 18.4 million shares of our common stock (inclusive of an additional 2.4 million shares of our common stock issued and sold pursuant to the underwriters’ exercise of their option to purchase additional shares in full). The aggregate net proceeds received by us from the IPO was $302.8 million, net of total offering costs of $28.4 million. In July 2025, upon the effectiveness of our Novo Collaboration Agreement, we received a one-time, non-refundable upfront payment of $195.0 million (see “Novo Collaboration Agreement”). In August 2025, we received a $12.5 million milestone payment from Vertex Pharmaceuticals Incorporated (“Vertex”) (see “Vertex Asset Purchase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our cash, cash equivalents, and marketable securities of $548.7 million as of December 31, 2025 will be sufficient to fund our operations and capital expenditure requirements at least into 2029.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use contract research and development organizations to conduct our preclinical works and clinical trials. Additionally, we utilize third-party contract manufacturing organizations (“CMOs”), to manufacture and supply our preclinical and clinical materials during the development of our product candidates. We expect to use similar contract resources for the commercialization of our products, at least until our resources and operations are at a scale that justifies investment in internal manufacturing capabilities.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conduct research and manufacturing work outside of the U.S., including China, that may be affected by tariffs, including tariffs that have been or may in the future be imposed by the U.S. or other countries through reciprocal tariffs. While we do not currently believe tariffs will have a material impact on our business or results of operations, we will continue to carefully monitor the situation. Additionally, we continue to actively monitor macroeconomic conditions and market volatility resulting from global and national economic developments, political unrest, high inflation, disruptions in capital markets, changes in international trade relationships, changes in or the disruptions of U.S. governmental agencies, whether from a continued U.S. federal government shutdown or reduced resources, new laws and regulations or amendments to existing laws and regulations in the U.S. and foreign countries, and military conflicts. While we believe such factors have had no significant impact on our business or financial results during the periods presented, future developments and potential impacts on our business are uncertain and cannot be predicted with confidence.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Collaboration, Research Services, and Asset Purchase Agreements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Novo Collaboration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2025, we entered into the Collaboration Agreement with Novo. Under the Novo Collaboration Agreement, we and Novo are exclusively collaborating to leverage our proprietary Native Complex Platform® to discover, develop and commercialize multiple potential oral small molecule therapies for metabolic-related diseases based on certain specified molecular targets. The collaboration objective is to discover and develop several novel mono-, dual-, or triple-acting oral small molecule drug candidates directed across five Collaboration Targets. The collaboration includes our most advanced preclinical metabolic program focused on developing an oral small molecule agonist to the GIP receptor. We and Novo have initially commenced four simultaneous research and development programs (each an “R&amp;D Program”) with each pursuing one or more Collaboration Targets from discovery through development candidate selection.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July 2025, the Novo Collaboration Agreement became effective and, subsequently, we received a one-time, non-refundable upfront payment of $195.0 million, which was recorded as deferred revenue in our balance sheet. For each R&amp;D Program, we are also eligible to receive up to approximately $498.0 million in research, development, regulatory, and commercial milestone payments. In addition, we are entitled to escalating, tiered royalties ranging from mid-to-high single-digits based on global product sales on a country-by-country and product-by-product basis with respect to a R&amp;D Program until the later of ten years after the date of first commercial sale of the first product in such R&amp;D Program in such country, expiration of specified patent rights covering such product in such country or the expiration of specified regulatory exclusivity for the first product in such R&amp;D Program in such country. See Note 4 to the financial statements included elsewhere in this Annual Report for additional information.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Vertex Asset Purchase and Research Service Agreement</w:t>
      </w:r>
    </w:p>
    <w:p>
      <w:pPr>
        <w:pStyle w:val="TextBody"/>
        <w:bidi w:val="0"/>
        <w:spacing w:before="120" w:after="283"/>
        <w:jc w:val="left"/>
        <w:rPr>
          <w:rFonts w:ascii="Times New Roman" w:hAnsi="Times New Roman"/>
          <w:sz w:val="20"/>
        </w:rPr>
      </w:pPr>
      <w:r>
        <w:rPr>
          <w:rFonts w:ascii="Times New Roman" w:hAnsi="Times New Roman"/>
          <w:i/>
          <w:color w:val="000000"/>
          <w:sz w:val="20"/>
        </w:rPr>
        <w:t>Vertex Asset Purchase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September 2023, we entered into an asset purchase agreement with Vertex for a total of $47.6 million under which Vertex acquired all of our IPR&amp;D asset related to a GPCR program, including all intellectual property, materials, and compounds associated with the program (“Vertex Asset Purchase Agreement”). Additionally, as part of the agreement, Vertex assumed all claims, counterclaims and credits associated with the program, and we gave up all rights to the intellectual property. The transfer of the IPR&amp;D asset to Vertex was completed in November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Vertex Asset Purchase Agreement also provided for a potential milestone payment payable to us contingent upon achievement of a certain research milestone. In July 2025, this milestone event was determined to have been achieved and, as a result, we received a payment of $12.5 million in August 2025, which was recorded as a gain on sale of the non-financial asset within total operating expenses in our statement of operations and comprehensive loss for the year ended December 31, 2025. Subsequently, there are no additional payments related to this IPR&amp;D asset.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Vertex Research Service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the Vertex purchase agreement, we also entered into a research service agreement with Vertex (“Vertex Research Service Agreement”) under which we agreed to perform certain exploratory research activities for Vertex. We recognized revenue associated with the Vertex Research Service Agreement over the performance period of the research services as the services were provided. The Vertex Research Service Agreement expired in September 2025.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generated any revenue from product sales and do not expect to do so in the foreseeable future. Our ability to generate product revenue, if ever, will depend on the successful development and eventual commercialization of any product candidates that we identify. If we fail to complete the development of any future product candidates in a timely manner or to obtain regulatory approval for such product candidates, our ability to generate future revenue and our results of operations and financial position would be materially adversely affected. Our revenues to date have been exclusively related to license and research and development (“R&amp;D”) services. Our license and research service revenue consists of amounts recognized from the portions of the non-refundable upfront payment and R&amp;D services performed by 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expenses consist of (i) research and development expenses and (ii) general and administrative expenses.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account for the largest component of our total operating expenses. Research and development expenses consist primarily of direct and unallocated costs incurred for the research and development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research and development expenses consist 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Direct costs,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clinical program costs, which include external costs to conduct clinical trials, including costs paid to contract research organizations (“CROs”), the production of clinical materials and fees paid to contract manufacturers, costs incurred in connection with clinical laboratory operations, materials and supplies;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preclinical and research program costs, which include external research and development costs related to (i) the production of preclinical materials, including fees and milestones paid to contract manufacturers and (ii) agreements with contract development organizations, consultants and other third-party contract organizations to conduct our preclinical studies and other research and development activities on our behalf, costs incurred in connection with laboratory operations, materials and supplies, and other preclinical studies;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unallocated costs,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payroll-related costs, including salaries, benefits and stock-based compensation for employees engaged in research and development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external research and development costs, including contract research and development and professional service fees for consulting and related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facility-related and office costs, including lease/rent, building-related expenses, facility-related overhead, and depreciation expense;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costs, including expenses related to our funded, sponsored research activities and technology licenses, laboratory operations, information technology (“IT”)-related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expense all research and development costs in the periods in which they are incurred. Costs for certain development activities are recognized based on an evaluation of the progress to completion of specific tasks using information and data provided to us by our vendors and third-party service providers.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significant portion of our research and development costs have been external costs, which we track by stage of development. However, we do not track our unallocated costs on a program specific basis because these costs are deployed across multiple projects and, as such, are not separately classified.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this time, we cannot reasonably estimate or know the nature, timing, and estimated costs of the efforts that will be necessary to complete the development of, and obtain regulatory approval for, any of our product candidates. We expect that our research and development expenses will increase substantially in absolute dollars for the foreseeable future as we continue to invest in research and development activities related to developing our product candidates, as our product candidates advance into later stages of development, as we begin to conduct new clinical trials, as we seek regulatory approvals for any product candidates that successfully complete clinical trials, and as we incur expenses associated with hiring additional personnel to support our research and development efforts. The process of conducting the necessary clinical research to obtain regulatory approval is costly and time-consuming, and the successful development of our product candidates is highly uncertain. This is due to the numerous risks and uncertainties associated with developing product candidates, many of which are outside of our control, including the uncertainty 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timing and progress of preclinical and clinical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and scope of preclinical and clinical programs we decide to pursue;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our current research and development programs and to establish new ones;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establishing an appropriate safety profile with IND-enabling studies;the number of sites and patients included in the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sites and patients included in the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countries in which the clinical trials are conducted;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replicate positive results from a completed clinical study in a future clinical study;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 patient trial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patient enrollment in, and the initiation of, clinical trials, as well as drop out or discontinuation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completion of clinical trials with safety, tolerability and efficacy profiles that are satisfactory to FDA, EMA, or any other comparable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or disruptions in review, approval, inspection, or other actions by the FDA or other applicable U.S. or foreign government regulatory authorities that could impact the timing, initiation, conduct, or completion of our clinical trials or marketing applications;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trials required for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receipt and terms of any regulatory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existing collaborations and strategic relationships, to identify and establish any future collaboration arrangements on favorable terms, if at all, and to realize the intended and potential benefits of such agreements and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performance of any current or future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performance of any current or future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commercial manufacturing capabilities or making arrangements with third-party manufacturers;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and changing government regulation and regulatory guidance;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any business interruptions to our operations or to those of the third parties with whom we work;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maintaining, defending and enforcing patent claims and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launching commercial sales of our product candidates, if approved, whether alone or in collaboration with others;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 continued acceptable safety profile of the product candidates following regulatory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changes in the outcome of any of these variables could mean a significant change in the costs and timing associated with the development of our product candidates. For example, if the FDA, EMA or any other comparable foreign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 We may never obtain regulatory approval for any of our product candidates.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consist primarily of personnel-related costs, costs related to maintenance and filing of intellectual property, legal fees related to corporate matters, professional fees paid for accounting, auditing, consulting, tax and investor relations services, insurance costs, general corporate expenses, and IT-related and facility-related costs not otherwise included in research and development expenses. Personnel-related costs include salaries, benefits, and stock-based compensation for our personnel in executive, legal, finance and accounting, human resources, and other administrative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our general and administrative expenses will increase substantially in absolute dollars for the foreseeable future as we continue to increase our headcount to support our business growth and to advance our research and development programs.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consists of interest earned on our cash, cash equivalents and marketable securities during the period.</w:t>
      </w:r>
    </w:p>
    <w:p>
      <w:pPr>
        <w:pStyle w:val="TextBody"/>
        <w:bidi w:val="0"/>
        <w:spacing w:before="360" w:after="283"/>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(expense), net consists primarily of changes in the fair value of our cash equivalents held in money market funds, loss on disposal of our fixed assets and foreign currency transaction gain or loss.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Benefit (Provision) for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subject to corporate U. S. federal and state income taxation. Our benefit for income taxes is recorded in accordance with Accounting Standard Codification 740, Accounting for Income Taxes, which provides for deferred taxes using an asset and liability approach. We establish a valuation allowance against all of our net deferred tax assets. We consider all available evidence, both positive and negative, including but not limited to our historical operating results, income or loss in recent periods, cumulative losses in recent years, forecasted earnings (losses), future taxable income (loss), and significant risk and uncertainty related to forecasts, and concluded the deferred tax assets are not more likely than not to be realized.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July 4, 2025, the One Big Beautiful Bill Act (“H.R.1”) was signed into law, which introduced significant changes to the U.S. federal income tax code. Among other changes, H.R.1 makes permanent key elements of the Tax Cuts and Jobs Act, including restoring 100% bonus depreciation, eliminating the capitalization requirement for domestic research and development expenses, and modifying the business interest expense limitation, which now allows depreciation and amortization to be included in the limitation calculation.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our results of operations for the years ended December 31, 2025 and 2024:</w:t>
      </w:r>
    </w:p>
    <w:p>
      <w:pPr>
        <w:pStyle w:val="TextBody"/>
        <w:bidi w:val="0"/>
        <w:jc w:val="left"/>
        <w:rPr/>
      </w:pPr>
      <w:r>
        <w:rPr/>
        <w:t> </w:t>
      </w:r>
    </w:p>
    <w:tbl>
      <w:tblPr>
        <w:tblW w:w="8258" w:type="dxa"/>
        <w:jc w:val="left"/>
        <w:tblInd w:w="0" w:type="dxa"/>
        <w:tblLayout w:type="fixed"/>
        <w:tblCellMar>
          <w:top w:w="28" w:type="dxa"/>
          <w:left w:w="28" w:type="dxa"/>
          <w:bottom w:w="28" w:type="dxa"/>
          <w:right w:w="28" w:type="dxa"/>
        </w:tblCellMar>
      </w:tblPr>
      <w:tblGrid>
        <w:gridCol w:w="3991"/>
        <w:gridCol w:w="146"/>
        <w:gridCol w:w="211"/>
        <w:gridCol w:w="781"/>
        <w:gridCol w:w="166"/>
        <w:gridCol w:w="146"/>
        <w:gridCol w:w="211"/>
        <w:gridCol w:w="736"/>
        <w:gridCol w:w="166"/>
        <w:gridCol w:w="146"/>
        <w:gridCol w:w="211"/>
        <w:gridCol w:w="736"/>
        <w:gridCol w:w="61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32,247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sale of non-financial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revenue was generated from research activities performed for Novo in connection with the Novo Collaboration Agreement and Vertex in connection with the Vertex Research Service Agreement.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$45.4 million of our total revenue for the year ended December 31, 2025 was generated from research activities performed for Novo in connection with the Novo Collaboration Agreement, of which $26.8 million was recognized from deferred revenue associated with our upfront payment, while the remainder was generated from research activities performed for Vertex in connection with the Vertex service agreement. All of our revenue for the year ended December 31, 2024 was generated from research activities performed for Vertex in connection with the Vertex service agreement.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summarizes our research and development expenses for the periods indicated by direct and unallocated costs (in thousands):</w:t>
      </w:r>
    </w:p>
    <w:p>
      <w:pPr>
        <w:pStyle w:val="TextBody"/>
        <w:bidi w:val="0"/>
        <w:jc w:val="left"/>
        <w:rPr/>
      </w:pPr>
      <w:r>
        <w:rPr/>
        <w:t> </w:t>
      </w:r>
    </w:p>
    <w:tbl>
      <w:tblPr>
        <w:tblW w:w="9038" w:type="dxa"/>
        <w:jc w:val="left"/>
        <w:tblInd w:w="0" w:type="dxa"/>
        <w:tblLayout w:type="fixed"/>
        <w:tblCellMar>
          <w:top w:w="28" w:type="dxa"/>
          <w:left w:w="28" w:type="dxa"/>
          <w:bottom w:w="28" w:type="dxa"/>
          <w:right w:w="28" w:type="dxa"/>
        </w:tblCellMar>
      </w:tblPr>
      <w:tblGrid>
        <w:gridCol w:w="5276"/>
        <w:gridCol w:w="146"/>
        <w:gridCol w:w="211"/>
        <w:gridCol w:w="676"/>
        <w:gridCol w:w="146"/>
        <w:gridCol w:w="146"/>
        <w:gridCol w:w="211"/>
        <w:gridCol w:w="676"/>
        <w:gridCol w:w="146"/>
        <w:gridCol w:w="146"/>
        <w:gridCol w:w="211"/>
        <w:gridCol w:w="736"/>
        <w:gridCol w:w="311"/>
      </w:tblGrid>
      <w:tr>
        <w:trPr/>
        <w:tc>
          <w:tcPr>
            <w:tcW w:w="5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PTH1R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MRGPRX2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Payroll-related expenses, including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External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Facility-related and office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32,247</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 was $97.6 million and $65.3 million for the years ended December 31, 2025 and 2024, respectively. The increase of $32.2 million was primarily due to (i) $22.3 million of higher direct costs attributable to increased spending with our other programs, (ii) $10.1 million of higher direct costs associated with our MRGPRX2 program, including an increase of $6.9 million in external clinical development expenses, (iii) $9.9 million of higher employee-related costs as a result of increased headcount as we grow our business, (iv) $2.0 million of higher facility-related and office costs as we expanded our office space to accommodate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higher occupancy and larger operational activities and (v) $1.2 million of increased direct costs associated with our PTH1R program. This was partially offset by a decrease of (i) $11.8 million in unallocated external research and development costs and (ii) $1.4 million in unallocated other costs. We expect to continue to incur increased research and development expenses as we advance SEP-631, SEP-479, and our other programs in our pipeline.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were $29.2 million and $16.6 million for the years ended December 31, 2025 and 2024, respectively. The increase of $12.6 million was primarily due to (i) $6.1 million of higher employee-related costs as a result of increased headcount to support our growing operations, (ii) $2.5 million of higher legal fees, (iii) $2.0 million of higher IT operation expenses, and (iv) $2.0 million of higher facility costs, consulting and other expenses, primarily attributable to our operational growth and operating as a public company.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Gain on Sale of Non-Financial Asset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Gain on sale of non-financial asset of $12.5 million during the year ended December 31, 2025 was attributable to a milestone payment under the Vertex Asset Purchase Agreement. No gain on sale of non-financial asset was recorded during the year ended December 31,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Income, Net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was $19.5 million and $8.6 million for the years ended December 31, 2025 and 2024, respectively. The increase in interest income was due to higher average balances of invested cash in cash equivalents and marketable securities.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Provision (Benefit)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income tax was not material for the year ended December 31, 2025. For the year ended December 31, 2024, we recorded a benefit for income taxes of $0.5 million.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net loss was $48.9 million for the year ended December 31, 2025 compared to $71.8 million of net loss for the year ended December 31, 2024. As of December 31, 2025, we had an accumulated deficit of $167.3 million. We have incurred net losses in each year since inception, except for the year ended December 31, 2023. We expect to continue to incur net losses for the foreseeable future. Our net losses may fluctuate significantly from period to period, depending on the timing and expenditures of our operational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historically financed our operations primarily through the issuances of convertible promissory notes and convertible preferred stock, an IPO, and strategic collaborations with other companies. In October 2024, we completed our IPO, pursuant to which we issued and sold an aggregate of 18.4 million shares of common stock (inclusive of 2.4 million shares of common stock sold pursuant to the underwriters’ exercise of their option to purchase additional shares). The aggregate net proceeds received by us from the IPO was $302.8 million, after deducting underwriting discounts and commissions, and other offering costs payable by us of $28.4 million. In July 2025, upon the effectiveness of the Novo Collaboration Agreement, we received a one-time, non-refundable upfront payment of $195.0 million. In August 2025, we received a $12.5 million milestone payment from the Vertex Asset Purchase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2025, we had $548.7 million in cash, cash equivalents, and marketable securities, which we believe will be sufficient to fund our operations and capital expenditure requirements at least into 2029.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have any off-balance sheet arrangements other than our indemnification agreements as described in Note 7 to our audited financial statements included elsewhere in this Annual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flows for the periods indicated (in thousands):</w:t>
      </w:r>
    </w:p>
    <w:p>
      <w:pPr>
        <w:pStyle w:val="TextBody"/>
        <w:bidi w:val="0"/>
        <w:jc w:val="left"/>
        <w:rPr/>
      </w:pPr>
      <w:r>
        <w:rPr/>
        <w:t> </w:t>
      </w:r>
    </w:p>
    <w:tbl>
      <w:tblPr>
        <w:tblW w:w="8339" w:type="dxa"/>
        <w:jc w:val="left"/>
        <w:tblInd w:w="0" w:type="dxa"/>
        <w:tblLayout w:type="fixed"/>
        <w:tblCellMar>
          <w:top w:w="28" w:type="dxa"/>
          <w:left w:w="28" w:type="dxa"/>
          <w:bottom w:w="28" w:type="dxa"/>
          <w:right w:w="28" w:type="dxa"/>
        </w:tblCellMar>
      </w:tblPr>
      <w:tblGrid>
        <w:gridCol w:w="5566"/>
        <w:gridCol w:w="146"/>
        <w:gridCol w:w="211"/>
        <w:gridCol w:w="841"/>
        <w:gridCol w:w="166"/>
        <w:gridCol w:w="146"/>
        <w:gridCol w:w="211"/>
        <w:gridCol w:w="841"/>
        <w:gridCol w:w="2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377,781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149,713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Net Cash Provided by (Used in) 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operating activities was $110.2 million for the years ended December 31, 2025. The net cash provided by operating activities for the year ended December 31, 2025 was due to $162.8 million of net change in operating assets and liabilities, primarily resulting from the upfront payment from the Novo Collaboration Agreement and $8.8 million of non-cash charges for depreciation and amortization, stock-based compensation, non-cash operating lease expense, accretion of premiums (discounts) on marketable securities, and other adjustments, which was partially offset by net loss of $48.9 million and gain on sale of non-financial asset of $12.5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operating activities was $67.5 million for the years ended December 31, 2024. Net cash used in operating activities for the year ended December 31, 2024 was due to our net loss of $71.8 million, which was partially offset by (i) $4.1 million of non-cash charges for depreciation and amortization, stock-based compensation, non-cash operating lease expense, deferred income tax and accretion of premiums (discounts) on marketable securities and other adjustments, and (ii) $0.2 million of net change in operating assets and liabilities.</w:t>
      </w:r>
    </w:p>
    <w:p>
      <w:pPr>
        <w:pStyle w:val="TextBody"/>
        <w:bidi w:val="0"/>
        <w:spacing w:before="360" w:after="283"/>
        <w:jc w:val="both"/>
        <w:rPr>
          <w:rFonts w:ascii="Times New Roman" w:hAnsi="Times New Roman"/>
          <w:sz w:val="20"/>
        </w:rPr>
      </w:pPr>
      <w:r>
        <w:rPr>
          <w:rFonts w:ascii="Times New Roman" w:hAnsi="Times New Roman"/>
          <w:i/>
          <w:color w:val="000000"/>
          <w:sz w:val="20"/>
        </w:rPr>
        <w:t>Net Cash Used in 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investing activities of $229.4 million for the year ended December 31, 2025 was due to $451.0 million of purchases of marketable securities and $0.5 million of purchases of property and equipment, partially offset by the maturity of $209.6 million of marketable securities and the receipt of the $12.5 million milestone payment related to the Vertex Asset Purchase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provided by investing activities of $160.6 million for the year ended December 31, 2024 was due to $213.4 million of purchases of marketable securities and $2.1 million of purchases of property and equipment, partially offset by the receipt of the remaining $22.6 million from the sale of non-financial asset in 2023 and the maturity of $32.3 million of marketable securities.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Net Cash Provided by 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provided by financing activities was $1.7 million for the year ended December 31, 2025 was primarily attributable to the proceeds from the exercise of stock options and employee stock purchase plan.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Net cash provided by financing activities was $377.8 million for the year ended December 31, 2024. Net cash provided by financing activities for the year ended December 31, 2024 was primarily due to $302.8 million of net proceeds from the issuance of our common stock in our IPO and $74.9 million of net proceeds from the sale and issuance of our Series B Convertible Preferred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Funding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primary use of cash, cash equivalents, and marketable securities is to fund our operations, primarily research and development expenditures. Cash, cash equivalents, and marketable securities used for operating expenses is impacted by the timing of when we pay these expenses, as reflected in the change in our outstanding accounts payable, accrued expenses and prepaid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timing, progress and results of discovery, preclinical development, laboratory testing and clinical trials for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successfully develop, obtain regulatory and marketing approvals of our product candidates for the expected indications and patient populations;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expenses of manufacturing our product candidates for clinical trials and in preparation for marketing approval and commercialization;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existing collaborations or strategic relationships and the extent to which we identify and enter into future collaborations or other arrangements with additional third parties in order to further develop our product candidates, as well as our ability to realize the intended and potential benefits of such agreements and collaborations;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expenses of preparing, filing and prosecuting patent applications, maintaining and enforcing our intellectual property rights and defending intellectual property-related claims;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expenses and fees associated with the discovery, acquisition or in-license of additional product candidates or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additional collaborations on favorable terms,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expenses required to scale up our clinical, regulatory and manufacturing capabilities;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expenses of future commercialization activities, if any, including establishing sales, marketing, manufacturing and distribution capabilities, for any of our product candidates for which we receive marketing approval;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revenue, if any, received from commercial sales of our product candidates, should any of our product candidates receive marketing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will need additional funds to meet operational needs and capital requirements for clinical trials, other research and development expenditures, and business development activities.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Until such time, if ever, as we can generate substantial product revenue, we expect to finance our operations through a combination of private and public equity offerings, debt financings, collaborations, strategic alliances and marketing, distribution or licensing arrangements. However, the trading prices for our common stock and for other biopharmaceutical companies have been highly volatile. As a result, we may face difficulties raising capital through sales of our common stock, and such sales may be on unfavorable terms. Similarly, adverse macroeconomic conditions and market volatility resulting from global and national economic developments, political unrest, high inflation, disruptions in capital markets, changes in international trade relationships, changes in or the disruptions of U.S. governmental agencies, whether from a continued U.S. federal government shutdown or reduced resources, global health crises, or other factors could materially and adversely affect our ability to consummate an equity or debt financing on favorable terms or at all. We may be unable to raise additional funds or enter into such other agreements or arrangements when needed on favorable terms, or at all. To the extent that we raise additional capital through the sale of equity or convertible debt securities, existing stockholders’ ownership interests will be diluted, and the terms of these securities may include liquidation or other preferences that adversely affect existing stockholders’ rights as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historically financed our operations primarily through the issuances of convertible promissory notes and convertible preferred stock, through an IPO, and strategic collaborations with other companies. In October 2024, we completed our IPO, which resulted in net proceeds of $302.8 million, net of total offering costs of $28.4 million. In July 2025, upon the effectiveness of the Novo Collaboration Agreement, we received a one-time, non-refundable upfront payment of $195.0 million. In August 2025, we received a $12.5 million milestone payment from the Vertex Asset Purchase Agreement. Since our inception, we have devoted substantially all of our resources to raising capital, organizing and staffing our company, business and scientific planning, conducting discovery and research and development activities, establishing, maintaining, and protecting our intellectual property portfolio, developing and progressing our product candidates and preparing for clinical trials, establishing arrangements with third parties for the manufacture of our product candidates and component materials, engaging in collaboration activities, and providing general and administrative support for these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Management’s discussion and analysis of our financial condition and results of operations is based on our financial statements, which have been prepared in accordance with generally accepted accounting principles in the United States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account for revenue in accordance with ASC 606, “Revenue from Contracts with Customers” (“ASC 606”). Under ASC 606, we recognize revenue when the customer obtains control of the promised goods or services at an amount that reflects the consideration we expect to receive in exchange for those goods or services. To determine revenue recognition for arrangements that we determine are within the scope of ASC 606, we perform the following four steps: (i) confirm we have a contract with a customer that creates enforceable rights and obligations; (ii) identify promised products or services to be transferred to a customer; (iii) determine the transaction price, or the amount it expects to receive, including an estimate of uncertain amounts subject to a constraint to ensure revenue is not recognized in an amount that would result in a significant reversal upon resolution of the uncertainty, is determinable and allocated to the performance obligations; and (iv) recognize revenue when or as performance obligations are satisfied.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Performance obligations promised in a contract are identified based on the goods and services that will be transferred to the customer that are both capable of being distinct and are distinct in the context of the contract. To the extent a contract includes multiple promised goods and services, we apply judgment to determine whether promised goods and services are both capable of being distinct and are distinct in the context of the contract. If these criteria are not met, the promised goods and services are accounted for as a combined performance obligation. For arrangements that include multiple performance obligations, we allocate the transaction price to the identified performance obligations based on the standalone selling price of each distinct performance obligation. In instances where standalone selling price is not directly observable, we develop assumptions that require judgment to determine the standalone selling price for each performance obligation identified in the contract using a cost plus margin approach, which is an estimation method used when standalone selling price is not directly observable. Key assumptions used within this estimation method may include full-time equivalent personnel effort and estimated external costs associated with the performance obligation.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transaction price is determined based on the consideration to which we will be entitled in exchange for transferring goods and services to the customer. To the extent the transaction price includes variable consideration, we estimate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our judgment, it is probable that a significant future reversal of cumulative revenue under the contract will not occur. Any estimates, including the effect of the constraint on variable consideration, are evaluated at each reporting period for any changes.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unless the transaction price is variable and meets the criteria to be allocated entirely to a performance obligation or to a distinct service that forms part of a single performance obligation.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satisfy performance obligations either over time or at a point in time. Revenue is recognized over time if either (i) the customer simultaneously receives and consumes the benefits provided our performance, (ii) our performance creates or enhances an asset that the customer controls as the asset is created or enhanced, or (iii) our performance does not create an asset with an alternative use to us and we have an enforceable right to payment for performance completed to date. If we do not satisfy a performance obligation over time, the related performance obligation is satisfied at a point in time by transferring the control of a promised good or service to a customer.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revenues are primarily derived through our license and research and development service arrangements. Payments to us under these arrangements typically include one or more of the following: one-time, non-refundable upfront payment, research and development service funding, milestone and other contingent payments to us for the achievement of defined collaboration objectives and certain collaboration, research and development and commercial milestones, as well as royalties based on net sales of approved drugs.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Consideration received prior to revenue recognition is recorded as deferred revenue in the balance sheets. Amounts expected to be recognized as revenue within the 12 months following the balance sheet date are classified as current portion of deferred revenue in the accompanying balance sheets. Amounts not expected to be recognized as revenue within the 12 months following the balance sheet date are classified as deferred revenue, non-current. Contract assets represent research and development services which have been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performed but have not yet been billed and are reduced when they are subsequently billed. Such contract assets include accounts receivable when our right to consideration is unconditional. For our current contracts, we recognize revenue as the amount of the transaction price that is allocated to the respective performance obligation when (or as) each performance obligation is satisfied at a point in time or over time, and, if over time, revenue recognized is based on the use of an input method.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When no remaining performance obligations are required of us, or following the completion of the performance obligation period, such amounts are recognized as revenue upon transfer of control of the goods or services to the customer.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terms of our collaborative arrangements include one or more of the following</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w:t>
      </w:r>
    </w:p>
    <w:p>
      <w:pPr>
        <w:pStyle w:val="TextBody"/>
        <w:bidi w:val="0"/>
        <w:spacing w:before="120" w:after="283"/>
        <w:jc w:val="both"/>
        <w:rPr/>
      </w:pPr>
      <w:r>
        <w:rPr>
          <w:rFonts w:ascii="Times New Roman" w:hAnsi="Times New Roman"/>
          <w:i/>
          <w:color w:val="000000"/>
          <w:sz w:val="20"/>
        </w:rPr>
        <w:t xml:space="preserve">Licenses of intellectual property, or IP - </w:t>
      </w:r>
      <w:r>
        <w:rPr>
          <w:rFonts w:ascii="Times New Roman" w:hAnsi="Times New Roman"/>
          <w:color w:val="000000"/>
          <w:sz w:val="20"/>
        </w:rPr>
        <w:t>If the license to our IP is determined to be distinct from the other performance obligations identified in the arrangement, we recognize revenue from consideration allocated to the license when the license is transferred to the customer and the customer can use and benefit from the licenses. For a license that is determined not to be distinct, it is combined with other promises and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evaluates the measure of progress each reporting period and, if necessary, adjust the measure of performance and related revenue recognition. We generally recognize revenue using the cost incurred to date as compared to the total estimated cost of each performance obligation. The impact on revenue of changes in total estimated costs are recognized on a cumulative basis in the period that the change occurs. If estimates of the total cost change, or if contract amendments change the scope of the performance obligation, the required adjustments to revenue could be material.</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(ii)</w:t>
      </w:r>
    </w:p>
    <w:p>
      <w:pPr>
        <w:pStyle w:val="TextBody"/>
        <w:bidi w:val="0"/>
        <w:spacing w:before="120" w:after="283"/>
        <w:jc w:val="both"/>
        <w:rPr/>
      </w:pPr>
      <w:r>
        <w:rPr>
          <w:rFonts w:ascii="Times New Roman" w:hAnsi="Times New Roman"/>
          <w:i/>
          <w:color w:val="000000"/>
          <w:sz w:val="20"/>
        </w:rPr>
        <w:t>Customer options</w:t>
      </w:r>
      <w:r>
        <w:rPr>
          <w:color w:val="000000"/>
        </w:rPr>
        <w:t xml:space="preserve"> </w:t>
      </w:r>
      <w:r>
        <w:rPr>
          <w:rFonts w:ascii="Times New Roman" w:hAnsi="Times New Roman"/>
          <w:color w:val="000000"/>
          <w:sz w:val="20"/>
        </w:rPr>
        <w:t>- We evaluate the customer options for material rights or options to acquire additional goods or services at no incremental consideration or at a discount. If the customer options are determined to represent a material right, the material right is recognized as a separate performance obligation at the outset of the arrangement. We allocate the transaction price to material rights based on the relative standalone selling price, which is determined based on the identified discount and the probability that the customer will exercise the option. Amounts allocated to a material right are not recognized as revenue until the option is exercised and performance obligations are satisfied. If an option is not exercised before the option right expires, we will accelerate and recognize all remaining revenue related to the material right performance obligation.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(iii)</w:t>
      </w:r>
    </w:p>
    <w:p>
      <w:pPr>
        <w:pStyle w:val="TextBody"/>
        <w:bidi w:val="0"/>
        <w:spacing w:before="120" w:after="283"/>
        <w:jc w:val="both"/>
        <w:rPr/>
      </w:pPr>
      <w:r>
        <w:rPr>
          <w:rFonts w:ascii="Times New Roman" w:hAnsi="Times New Roman"/>
          <w:i/>
          <w:color w:val="000000"/>
          <w:sz w:val="20"/>
        </w:rPr>
        <w:t xml:space="preserve">Research and development services </w:t>
      </w:r>
      <w:r>
        <w:rPr>
          <w:rFonts w:ascii="Times New Roman" w:hAnsi="Times New Roman"/>
          <w:color w:val="000000"/>
          <w:sz w:val="20"/>
        </w:rPr>
        <w:t>- The promises under our collaboration agreement include research and development services to be performed by us for or on behalf of the customer. Payments or reimbursements resulting from our research and development efforts are recognized as the services are performed and presented on a gross basis because we are the principal for such efforts. Reimbursements are recognized in revenue in our statements of operations and comprehensive loss. Expenses incurred as part of our efforts to perform the research and development services are recognized in research and development expense in our statements of operations and comprehensive loss.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(iv)</w:t>
      </w:r>
    </w:p>
    <w:p>
      <w:pPr>
        <w:pStyle w:val="TextBody"/>
        <w:bidi w:val="0"/>
        <w:spacing w:before="120" w:after="283"/>
        <w:jc w:val="both"/>
        <w:rPr/>
      </w:pPr>
      <w:r>
        <w:rPr>
          <w:rFonts w:ascii="Times New Roman" w:hAnsi="Times New Roman"/>
          <w:i/>
          <w:color w:val="000000"/>
          <w:sz w:val="20"/>
        </w:rPr>
        <w:t xml:space="preserve">Manufacturing services </w:t>
      </w:r>
      <w:r>
        <w:rPr>
          <w:rFonts w:ascii="Times New Roman" w:hAnsi="Times New Roman"/>
          <w:color w:val="000000"/>
          <w:sz w:val="20"/>
        </w:rPr>
        <w:t>- The promises under our collaboration agreement include manufacturing services to be performed by us. Payments or reimbursements resulting from our manufacturing services are recognized as the services are performed and presented on a gross basis because we are the principal for such efforts. Reimbursements are recognized in revenue in our statements of operations and comprehensive loss. Expenses incurred to perform the manufacturing services are recognized in research and development expense in our statements of operations and comprehensive loss.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(v)</w:t>
      </w:r>
    </w:p>
    <w:p>
      <w:pPr>
        <w:pStyle w:val="TextBody"/>
        <w:bidi w:val="0"/>
        <w:spacing w:before="120" w:after="283"/>
        <w:jc w:val="both"/>
        <w:rPr/>
      </w:pPr>
      <w:r>
        <w:rPr>
          <w:rFonts w:ascii="Times New Roman" w:hAnsi="Times New Roman"/>
          <w:i/>
          <w:color w:val="000000"/>
          <w:sz w:val="20"/>
        </w:rPr>
        <w:t xml:space="preserve">Milestone payments </w:t>
      </w:r>
      <w:r>
        <w:rPr>
          <w:rFonts w:ascii="Times New Roman" w:hAnsi="Times New Roman"/>
          <w:color w:val="000000"/>
          <w:sz w:val="20"/>
        </w:rPr>
        <w:t>- At the inception of each arrangement that includes development or regulatory milestone payments, we evaluate the probability of reaching the milestones and estimates the amount to be included in the transaction price using the most likely amount method. If it is probable that a significant revenue reversal would not occur in the future, the associated milestone value is included in the transaction price. Milestone payments that are not within our control or the licensee’s, such as regulatory approvals, are not considered probable of being achieved until those approvals are received, and therefore, consideration included in the transaction price is constrained. We applied the variable consideration allocation exception under ASC 606 whereby variable milestone payments are not estimated and included in the transaction price at inception. The transaction price is then allocated to each performance obligation on a relative standalone selling price basis, for which we recognize revenue as or when the performance obligations under the contract are satisfied. At the end of each subsequent reporting period, we re-evaluate the probability of achievement of such development milestones and any related constraint, and if necessary, adjusts its estimate of the overall transaction price. Any such adjustments are recorded on a cumulative catch-up basis, which would affect revenues and earnings in the period of adjustment.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(vi)</w:t>
      </w:r>
    </w:p>
    <w:p>
      <w:pPr>
        <w:pStyle w:val="TextBody"/>
        <w:bidi w:val="0"/>
        <w:spacing w:before="120" w:after="283"/>
        <w:jc w:val="both"/>
        <w:rPr/>
      </w:pPr>
      <w:r>
        <w:rPr>
          <w:rFonts w:ascii="Times New Roman" w:hAnsi="Times New Roman"/>
          <w:i/>
          <w:color w:val="000000"/>
          <w:sz w:val="20"/>
        </w:rPr>
        <w:t xml:space="preserve">Commercial milestone payments and royalties </w:t>
      </w:r>
      <w:r>
        <w:rPr>
          <w:rFonts w:ascii="Times New Roman" w:hAnsi="Times New Roman"/>
          <w:color w:val="000000"/>
          <w:sz w:val="20"/>
        </w:rPr>
        <w:t>- For arrangements that include sales-based royalties, including milestone payments based on levels of sales, if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Stock-based compensation is measured based on the estimated grant date fair value of the award and is recognized as expense on a straight-line basis over the requisite service period (usually the vesting period). Forfeitures are accounted for in the period in which they occur.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determining the fair value of the options granted and Employee Stock Purchase Plan (“ESPP”) shares, we use the Black-Scholes option pricing model and assumptions discussed below. Each of these inputs is subjective and generally requires significant judgment to determine.</w:t>
      </w:r>
    </w:p>
    <w:p>
      <w:pPr>
        <w:pStyle w:val="TextBody"/>
        <w:bidi w:val="0"/>
        <w:spacing w:before="240" w:after="283"/>
        <w:jc w:val="both"/>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 xml:space="preserve"> — The expected term represents the period that our stock options granted are expected to be outstanding and is determined using the simplified method (based on the mid-point between the vesting date and the end of the contractual term). We have very limited historical information to develop reasonable expectations about future exercise patterns and post-vesting employment termination behavior for our stock option grants. We will continue to apply this process until a sufficient amount of historical information regarding employee exercise patterns and post-vesting employment termination behavior becomes available.</w:t>
      </w:r>
    </w:p>
    <w:p>
      <w:pPr>
        <w:pStyle w:val="TextBody"/>
        <w:bidi w:val="0"/>
        <w:spacing w:before="240" w:after="283"/>
        <w:jc w:val="both"/>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 xml:space="preserve"> — Due to our limited operating history and lack of company-specific historical volatility as a public company due to our recent IPO in October 2024, or implied volatility as a private company, the expected volatility was estimated based on the average volatility for comparable publicly traded biopharmaceutical companies over a period, where available, equal to the expected term of the stock option grants. The comparable companies were chosen based on their similar size, life cycle stage and area of specialty. </w:t>
      </w:r>
    </w:p>
    <w:p>
      <w:pPr>
        <w:pStyle w:val="TextBody"/>
        <w:bidi w:val="0"/>
        <w:spacing w:before="240" w:after="283"/>
        <w:jc w:val="both"/>
        <w:rPr>
          <w:rFonts w:ascii="Times New Roman" w:hAnsi="Times New Roman"/>
          <w:sz w:val="20"/>
        </w:rPr>
      </w:pPr>
      <w:r>
        <w:rPr>
          <w:rFonts w:ascii="Times New Roman" w:hAnsi="Times New Roman"/>
          <w:i/>
          <w:color w:val="000000"/>
          <w:sz w:val="20"/>
        </w:rPr>
        <w:t>Risk-free Interest Rate</w:t>
      </w:r>
      <w:r>
        <w:rPr>
          <w:rFonts w:ascii="Times New Roman" w:hAnsi="Times New Roman"/>
          <w:color w:val="000000"/>
          <w:sz w:val="20"/>
        </w:rPr>
        <w:t xml:space="preserve"> — The risk-free interest rate is based on the U.S. Treasury zero coupon issues in effect at the time of grant for periods corresponding with the expected term of the options. </w:t>
      </w:r>
    </w:p>
    <w:p>
      <w:pPr>
        <w:pStyle w:val="TextBody"/>
        <w:bidi w:val="0"/>
        <w:spacing w:before="240" w:after="283"/>
        <w:jc w:val="both"/>
        <w:rPr>
          <w:rFonts w:ascii="Times New Roman" w:hAnsi="Times New Roman"/>
          <w:sz w:val="20"/>
        </w:rPr>
      </w:pPr>
      <w:r>
        <w:rPr>
          <w:rFonts w:ascii="Times New Roman" w:hAnsi="Times New Roman"/>
          <w:i/>
          <w:color w:val="000000"/>
          <w:sz w:val="20"/>
        </w:rPr>
        <w:t>Expected Dividend</w:t>
      </w:r>
      <w:r>
        <w:rPr>
          <w:rFonts w:ascii="Times New Roman" w:hAnsi="Times New Roman"/>
          <w:color w:val="000000"/>
          <w:sz w:val="20"/>
        </w:rPr>
        <w:t xml:space="preserve"> — We have never paid dividends on our common stock and have no plans to pay dividends on our common stock. Therefore, we used an expected dividend yield of zero. </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 Costs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costs are expensed as incurred. Research and development expenses consist primarily of employee-related costs, including salaries, benefits and stock-based compensation for employees engaged in research and development activities, costs related to research activities, preclinical studies and clinical trials, contract manufacturing for the production of clinical and preclinical materials, information technology-related costs, allocated overhead costs including facility-related expenses, consulting fees, costs related to laboratory operations and fees paid to other entities that conduct certain research and development activities on our behalf. Payments made prior to the receipt of goods and services to be used in research and development are deferred and recognized as expense in the period in which the related goods are received or services are rendered.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entered into agreements with outsourced contract manufacturing and development and clinical research vendors. We estimate accrued research and development expenses as of each balance sheet date based on facts and circumstances known at that time. We periodically confirm the accuracy of its estimates with internal management personnel and external service providers, and makes adjustments, if necessary. Research and development accruals are estimated based on the level of services performed, progress of the studies, including the phase or completion of events, and contracted costs. The estimated costs of research and development services provided, but not yet invoiced, are included in accrued expenses on the balance sheets. If the actual timing of the performance of services or the level of effort varies from the original estimates, we will adjust the accrual accordingly. Payments made under these arrangements in advance of the performance of the related services are recorded as prepaid expenses and other current assets until the services are rendered.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2 to our audited financial statements included elsewhere in this Annual Report for more information.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Emerging Growth Company and Smaller Reporting Company Status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qualify as “emerging growth company” under the Jumpstart Our Business Startups Act of 2012 (“JOBS Act”), which permits us to take advantage of an extended transition period to comply with new or revised accounting standards. This provision allows an emerging growth company to delay the adoption of accounting standards that have different effective dates for public and private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companies that comply with new or revised accounting pronouncements as of public company effective dates. We could be an emerging growth company until the earliest to occur: (i) the last day of the fiscal year in which we have more than $1.235 billion in annual gross revenue; (ii) the date we qualify as a “large accelerated filers” as defined in Rule 12b-2 under the Securities Exchange Act of 1934, as amended (the “Exchange Act”), with at least $700.0 million of equity securities held by non-affiliates; (iii) the issuance, in any three-year period, by us of more than $1.0 billion in non-convertible debt securities; or (iv) the last day of the fiscal year ending after the fifth anniversary of our IPO. Even after we no longer qualify as an emerging growth company, we may continue to qualify as a “smaller reporting company,” which would allow us to take advantage of many of the same exemptions from disclosure requirements including reduced disclosure obligations regarding executive compensation in our periodic reports and proxy statements, if either (i) the market value of our stock held by non-affiliates is less than $250.0 million or (ii) our annual revenue is less than $100.0 million during the most recently completed fiscal year and the market value of our stock held by non-affiliates is less than $700.0 million.</w:t>
      </w:r>
    </w:p>
    <w:p>
      <w:pPr>
        <w:pStyle w:val="TextBody"/>
        <w:bidi w:val="0"/>
        <w:spacing w:before="360" w:after="283"/>
        <w:jc w:val="left"/>
        <w:rPr>
          <w:rFonts w:ascii="Times New Roman" w:hAnsi="Times New Roman"/>
          <w:b/>
          <w:color w:val="000000"/>
          <w:sz w:val="20"/>
        </w:rPr>
      </w:pPr>
      <w:bookmarkStart w:id="17" w:name="item_7a_quantitative_and_qualitative"/>
      <w:bookmarkEnd w:id="17"/>
      <w:r>
        <w:rPr>
          <w:rFonts w:ascii="Times New Roman" w:hAnsi="Times New Roman"/>
          <w:b/>
          <w:color w:val="000000"/>
          <w:sz w:val="20"/>
        </w:rPr>
        <w:t>Item 7A.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smaller reporting company as defined by Rule 12b-2 of the Exchange Act and are not required to provide the information required under this item. </w:t>
      </w:r>
    </w:p>
    <w:p>
      <w:pPr>
        <w:pStyle w:val="TextBody"/>
        <w:bidi w:val="0"/>
        <w:spacing w:before="240" w:after="283"/>
        <w:jc w:val="left"/>
        <w:rPr>
          <w:rFonts w:ascii="Times New Roman" w:hAnsi="Times New Roman"/>
          <w:b/>
          <w:color w:val="000000"/>
          <w:sz w:val="20"/>
        </w:rPr>
      </w:pPr>
      <w:bookmarkStart w:id="18" w:name="item_8_financial_statements"/>
      <w:bookmarkEnd w:id="18"/>
      <w:r>
        <w:rPr>
          <w:rFonts w:ascii="Times New Roman" w:hAnsi="Times New Roman"/>
          <w:b/>
          <w:color w:val="000000"/>
          <w:sz w:val="20"/>
        </w:rPr>
        <w:t>Item 8. Financial Statements and Supplementary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is presented at the end of this Annual Report beginning on page F-1. An index of those financial statements is found in Part IV, Item 15, Exhibits, Financial Statement Schedules, of this Annual Report.</w:t>
      </w:r>
    </w:p>
    <w:p>
      <w:pPr>
        <w:pStyle w:val="TextBody"/>
        <w:bidi w:val="0"/>
        <w:spacing w:before="360" w:after="283"/>
        <w:jc w:val="left"/>
        <w:rPr>
          <w:rFonts w:ascii="Times New Roman" w:hAnsi="Times New Roman"/>
          <w:b/>
          <w:color w:val="000000"/>
          <w:sz w:val="20"/>
        </w:rPr>
      </w:pPr>
      <w:bookmarkStart w:id="19" w:name="item_9_changes_in_and_disagreements"/>
      <w:bookmarkEnd w:id="19"/>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20" w:name="item_9a_controls_and_procedures"/>
      <w:bookmarkEnd w:id="20"/>
      <w:r>
        <w:rPr>
          <w:rFonts w:ascii="Times New Roman" w:hAnsi="Times New Roman"/>
          <w:b/>
          <w:color w:val="000000"/>
          <w:sz w:val="20"/>
        </w:rPr>
        <w:t>Item 9A.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Management’s 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by us in the reports we file or submit under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officer and principal financial officer, as appropriate to allow timely decisions regarding required disclosure.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designing and evaluating the disclosure controls and procedures, management recognizes that any controls and procedures, no matter how well designed and operated, can provide only reasonable assurance of achieving the desired control objectives. As required by Rule 13a-15(b) or Rule 15d-15(b) promulgated by the SEC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Annual Report. Based on the foregoing, our principal executive officer and principal financial officer concluded that our disclosure controls and procedures were effective as of the end of the period covered by this Annual Report at the reasonable assurance level.</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Management’s Report on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in accordance with generally accepted accounting principles ("GAAP") and includes those policies and procedures that: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pertain to the maintenance of records that in reasonable detail accurately and fairly reflect the transactions and dispositions of our assets;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reasonable assurance that transactions are recorded as necessary to permit preparation of financial statements in accordance with GAAP, and that the Company's receipts and expenditures are being made only in accordance with authorizations of our management and board of directors;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reasonable assurance regarding prevention or timely detection of unauthorized acquisition, use or disposition of our assets that could have a material effect on the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supervision of and with the participation of our principal executive officer and principal financial officer, management assessed the effectiveness of our internal control over financial reporting as of December 31, 2025 based on the criteria set forth by the Committee of Sponsoring Organizations of the Treadway Commission in Internal Control—Integrated Framework (2013 framework). Based on this evaluation, management has concluded that the Company maintained effective internal control over financial reporting as of December 31, 2025.</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have been no changes in our internal control over financial reporting (as defined in Rules 13a-15(f) and 15d-15(f) under the Exchange Act) during the fiscal quarter ended December 31, 2025 that have materially affected, or are reasonably likely to materially affect, our internal control over financial reporting.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Limitations on Effectiveness of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including our principal executive officer and principal financial officer, believes that our disclosure controls and procedures and internal control over financial reporting are designed to provide reasonable assurance of achieving their objectives and are effective at the reasonable assurance level. However, the effectiveness of any internal control over financial reporting is subject to inherent limitations, including the exercise of judgment in designing, implementing, operating, and evaluating the controls and procedures, and the inability to eliminate misconduct completely. Because of the inherent limitations in all control systems, no evaluation of controls can provide absolute assurance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w:t>
      </w:r>
    </w:p>
    <w:p>
      <w:pPr>
        <w:pStyle w:val="TextBody"/>
        <w:bidi w:val="0"/>
        <w:spacing w:before="360" w:after="283"/>
        <w:jc w:val="left"/>
        <w:rPr>
          <w:rFonts w:ascii="Times New Roman" w:hAnsi="Times New Roman"/>
          <w:b/>
          <w:color w:val="000000"/>
          <w:sz w:val="20"/>
        </w:rPr>
      </w:pPr>
      <w:bookmarkStart w:id="21" w:name="item_9b_other_information"/>
      <w:bookmarkEnd w:id="21"/>
      <w:r>
        <w:rPr>
          <w:rFonts w:ascii="Times New Roman" w:hAnsi="Times New Roman"/>
          <w:b/>
          <w:color w:val="000000"/>
          <w:sz w:val="20"/>
        </w:rPr>
        <w:t>Item 9B. 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Rule 10b5-1 Trading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20, 2025, Liz Bhatt, M.S., M.B.A., our President and Chief Operating Officer, adopted a pre-arranged trading plan for the sale, at the times and prices specified in the plan, of up to an aggregate of 41,000 shares of our common stock (comprised of shares issuable upon the exercise of option awards previously granted to Ms. Bhatt), which plan expires at the earlier of January 15, 2027, and the date upon which all authorized transactions thereunder are completed. Ms. Bhatt’s trading plan is intended to satisfy the affirmative defense conditions of Rule 10b5-1(c) under the Exchange 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31, 2025, Samira Shaikhly, our Chief People Officer, adopted a pre-arranged trading plan for the sale, at the times and prices specified in the plan, of up to an aggregate of 109,206 shares of our common stock (comprised of shares issuable upon the exercise of option awards previously granted to Ms. Shaikhly), which plan expires at the earlier of October 30, 2026, and the date upon which all authorized transactions thereunder are completed. Ms. Shaikhly’s trading plan is intended to satisfy the affirmative defense conditions of Rule 10b5-1(c) under the Exchange 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December 31, 2025, no other directors or officers (as defined in Rule 16a-1(f) of the Exchange Act) of the Company adopted, modified, or terminated a “Rule 10b5-1 trading arrangement” or a “non-Rule 10b5-1 trading arrangement” as each term is defined in Item 408 of Regulation S-K.</w:t>
      </w:r>
    </w:p>
    <w:p>
      <w:pPr>
        <w:pStyle w:val="TextBody"/>
        <w:bidi w:val="0"/>
        <w:spacing w:before="360" w:after="283"/>
        <w:jc w:val="left"/>
        <w:rPr>
          <w:rFonts w:ascii="Times New Roman" w:hAnsi="Times New Roman"/>
          <w:b/>
          <w:color w:val="000000"/>
          <w:sz w:val="20"/>
        </w:rPr>
      </w:pPr>
      <w:bookmarkStart w:id="22" w:name="item_9c_disclosure_regarding"/>
      <w:bookmarkEnd w:id="22"/>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3" w:name="part_iii"/>
      <w:bookmarkEnd w:id="23"/>
      <w:r>
        <w:rPr>
          <w:rFonts w:ascii="Times New Roman" w:hAnsi="Times New Roman"/>
          <w:b/>
          <w:color w:val="000000"/>
          <w:sz w:val="20"/>
        </w:rPr>
        <w:t>PART III</w:t>
      </w:r>
    </w:p>
    <w:p>
      <w:pPr>
        <w:pStyle w:val="TextBody"/>
        <w:bidi w:val="0"/>
        <w:spacing w:before="240" w:after="283"/>
        <w:jc w:val="left"/>
        <w:rPr>
          <w:rFonts w:ascii="Times New Roman" w:hAnsi="Times New Roman"/>
          <w:b/>
          <w:color w:val="000000"/>
          <w:sz w:val="20"/>
        </w:rPr>
      </w:pPr>
      <w:bookmarkStart w:id="24" w:name="item_10_directors_executive_officers"/>
      <w:bookmarkEnd w:id="24"/>
      <w:r>
        <w:rPr>
          <w:rFonts w:ascii="Times New Roman" w:hAnsi="Times New Roman"/>
          <w:b/>
          <w:color w:val="000000"/>
          <w:sz w:val="20"/>
        </w:rPr>
        <w:t>Item 10. Directors, Executive Officers and Corporate Governance.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included in our definitive proxy statement relating to our 2026 Annual Meeting of Stockholders (the “Proxy Statement”), which we will file with the Securities and Exchange Commission (the “SEC”) not later than 120 days after the end of our fiscal year ended December 31, 2025 and is incorporated in this Annual Report on Form 10-K (this “Annual Report”) by reference.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have adopted a code of business conduct and ethics (the “Ethics Code”), that applies to all our employees, officers and directors. This includes our principal executive officer, principal financial officer and principal accounting officer, or persons performing similar functions. The full text of the Ethics Code is available on our website at </w:t>
      </w:r>
      <w:r>
        <w:rPr>
          <w:rFonts w:ascii="Times New Roman" w:hAnsi="Times New Roman"/>
          <w:i/>
          <w:color w:val="000000"/>
          <w:sz w:val="20"/>
        </w:rPr>
        <w:t>www.septerna.com</w:t>
      </w:r>
      <w:r>
        <w:rPr>
          <w:rFonts w:ascii="Times New Roman" w:hAnsi="Times New Roman"/>
          <w:color w:val="000000"/>
          <w:sz w:val="20"/>
        </w:rPr>
        <w:t>. If we ever were to amend or waive any provision of our Ethics Code that applies to the Company’s principal executive officer, principal financial officer, principal accounting officer, or any person performing similar functions, we intend to satisfy our disclosure obligations, if any, with respect to any such waiver or amendment by posting such information on our website set forth above rather than by filing a Current Report on Form 8-K. Information contained in, or that can be accessed through, our website is not incorporated by reference herein, and you should not consider information on our website to be part of this Annual Report.</w:t>
      </w:r>
    </w:p>
    <w:p>
      <w:pPr>
        <w:pStyle w:val="TextBody"/>
        <w:bidi w:val="0"/>
        <w:spacing w:before="360" w:after="283"/>
        <w:jc w:val="left"/>
        <w:rPr>
          <w:rFonts w:ascii="Times New Roman" w:hAnsi="Times New Roman"/>
          <w:b/>
          <w:color w:val="000000"/>
          <w:sz w:val="20"/>
        </w:rPr>
      </w:pPr>
      <w:bookmarkStart w:id="25" w:name="item_11_executive_compensation"/>
      <w:bookmarkEnd w:id="25"/>
      <w:r>
        <w:rPr>
          <w:rFonts w:ascii="Times New Roman" w:hAnsi="Times New Roman"/>
          <w:b/>
          <w:color w:val="000000"/>
          <w:sz w:val="20"/>
        </w:rPr>
        <w:t>Item 11. Executive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(excluding information under the subheading “Pay Versus Performance”) will be included in the Proxy Statement and is incorporated in this Annual Report by reference.</w:t>
      </w:r>
    </w:p>
    <w:p>
      <w:pPr>
        <w:pStyle w:val="TextBody"/>
        <w:bidi w:val="0"/>
        <w:spacing w:before="360" w:after="283"/>
        <w:jc w:val="both"/>
        <w:rPr>
          <w:rFonts w:ascii="Times New Roman" w:hAnsi="Times New Roman"/>
          <w:b/>
          <w:color w:val="000000"/>
          <w:sz w:val="20"/>
        </w:rPr>
      </w:pPr>
      <w:bookmarkStart w:id="26" w:name="item_12_security_ownership_of_certain"/>
      <w:bookmarkEnd w:id="26"/>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included in the Proxy Statement and is incorporated in this Annual Report by reference.</w:t>
      </w:r>
    </w:p>
    <w:p>
      <w:pPr>
        <w:pStyle w:val="TextBody"/>
        <w:bidi w:val="0"/>
        <w:spacing w:before="360" w:after="283"/>
        <w:jc w:val="both"/>
        <w:rPr>
          <w:rFonts w:ascii="Times New Roman" w:hAnsi="Times New Roman"/>
          <w:b/>
          <w:color w:val="000000"/>
          <w:sz w:val="20"/>
        </w:rPr>
      </w:pPr>
      <w:bookmarkStart w:id="27" w:name="item_13_certain_relationships"/>
      <w:bookmarkEnd w:id="27"/>
      <w:r>
        <w:rPr>
          <w:rFonts w:ascii="Times New Roman" w:hAnsi="Times New Roman"/>
          <w:b/>
          <w:color w:val="000000"/>
          <w:sz w:val="20"/>
        </w:rPr>
        <w:t>Item 13. Certain Relationships and Related Transactions, and Director Independence.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included in the Proxy Statement and is incorporated in this Annual Report by reference.</w:t>
      </w:r>
    </w:p>
    <w:p>
      <w:pPr>
        <w:pStyle w:val="TextBody"/>
        <w:bidi w:val="0"/>
        <w:spacing w:before="360" w:after="283"/>
        <w:jc w:val="both"/>
        <w:rPr>
          <w:rFonts w:ascii="Times New Roman" w:hAnsi="Times New Roman"/>
          <w:sz w:val="20"/>
        </w:rPr>
      </w:pPr>
      <w:bookmarkStart w:id="28" w:name="item_14_principal_accounting_fees_and"/>
      <w:bookmarkEnd w:id="28"/>
      <w:r>
        <w:rPr>
          <w:rFonts w:ascii="Times New Roman" w:hAnsi="Times New Roman"/>
          <w:b/>
          <w:color w:val="000000"/>
          <w:sz w:val="20"/>
        </w:rPr>
        <w:t>Item 14. Principal</w:t>
      </w:r>
      <w:r>
        <w:rPr>
          <w:rFonts w:ascii="Times New Roman" w:hAnsi="Times New Roman"/>
          <w:color w:val="000000"/>
          <w:sz w:val="20"/>
        </w:rPr>
        <w:t xml:space="preserve"> </w:t>
      </w:r>
      <w:r>
        <w:rPr>
          <w:rFonts w:ascii="Times New Roman" w:hAnsi="Times New Roman"/>
          <w:b/>
          <w:color w:val="000000"/>
          <w:sz w:val="20"/>
        </w:rPr>
        <w:t>Accounting Fees and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included in the Proxy Statement and is incorporated in this Annual Report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29" w:name="part_iv"/>
      <w:bookmarkEnd w:id="29"/>
      <w:r>
        <w:rPr>
          <w:rFonts w:ascii="Times New Roman" w:hAnsi="Times New Roman"/>
          <w:b/>
          <w:color w:val="000000"/>
          <w:sz w:val="20"/>
        </w:rPr>
        <w:t>PART IV</w:t>
      </w:r>
    </w:p>
    <w:p>
      <w:pPr>
        <w:pStyle w:val="TextBody"/>
        <w:bidi w:val="0"/>
        <w:jc w:val="left"/>
        <w:rPr>
          <w:rFonts w:ascii="Times New Roman" w:hAnsi="Times New Roman"/>
          <w:b/>
          <w:color w:val="000000"/>
          <w:sz w:val="20"/>
        </w:rPr>
      </w:pPr>
      <w:bookmarkStart w:id="30" w:name="item_15_exhibits_financial_statement"/>
      <w:bookmarkEnd w:id="30"/>
      <w:r>
        <w:rPr>
          <w:rFonts w:ascii="Times New Roman" w:hAnsi="Times New Roman"/>
          <w:b/>
          <w:color w:val="000000"/>
          <w:sz w:val="20"/>
        </w:rPr>
        <w:t>Item 15. Exhibits and Financial Statement Schedules.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pPr>
      <w:r>
        <w:rPr>
          <w:rFonts w:ascii="Times New Roman" w:hAnsi="Times New Roman"/>
          <w:i/>
          <w:color w:val="000000"/>
          <w:sz w:val="20"/>
        </w:rPr>
        <w:t xml:space="preserve">Financial Statements. </w:t>
      </w:r>
      <w:r>
        <w:rPr>
          <w:rFonts w:ascii="Times New Roman" w:hAnsi="Times New Roman"/>
          <w:color w:val="000000"/>
          <w:sz w:val="20"/>
        </w:rPr>
        <w:t>The financial statements of Septerna, Inc. and the report of Ernst &amp; Young LLP, Independent Registered Public Accounting Firm, are included in a separate section of this Annual Report on Form 10-K beginning on page F-1. All financial statement schedules are omitted because the information is inapplicable or the information required is presented in our financial statements and notes thereto.</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00"/>
        <w:jc w:val="both"/>
        <w:rPr/>
      </w:pPr>
      <w:r>
        <w:rPr>
          <w:rFonts w:ascii="Times New Roman" w:hAnsi="Times New Roman"/>
          <w:i/>
          <w:color w:val="000000"/>
          <w:sz w:val="20"/>
        </w:rPr>
        <w:t>Exhibits</w:t>
      </w:r>
      <w:r>
        <w:rPr>
          <w:rFonts w:ascii="Times New Roman" w:hAnsi="Times New Roman"/>
          <w:color w:val="000000"/>
          <w:sz w:val="20"/>
        </w:rPr>
        <w:t>. The following is a list of exhibits filed as part of this Annual Report on Form 10-K:</w:t>
      </w:r>
    </w:p>
    <w:tbl>
      <w:tblPr>
        <w:tblW w:w="10205" w:type="dxa"/>
        <w:jc w:val="left"/>
        <w:tblInd w:w="0" w:type="dxa"/>
        <w:tblLayout w:type="fixed"/>
        <w:tblCellMar>
          <w:top w:w="28" w:type="dxa"/>
          <w:left w:w="28" w:type="dxa"/>
          <w:bottom w:w="28" w:type="dxa"/>
          <w:right w:w="28" w:type="dxa"/>
        </w:tblCellMar>
      </w:tblPr>
      <w:tblGrid>
        <w:gridCol w:w="811"/>
        <w:gridCol w:w="146"/>
        <w:gridCol w:w="5183"/>
        <w:gridCol w:w="146"/>
        <w:gridCol w:w="586"/>
        <w:gridCol w:w="146"/>
        <w:gridCol w:w="877"/>
        <w:gridCol w:w="146"/>
        <w:gridCol w:w="736"/>
        <w:gridCol w:w="146"/>
        <w:gridCol w:w="1282"/>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9"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r>
      <w:tr>
        <w:trPr/>
        <w:tc>
          <w:tcPr>
            <w:tcW w:w="811"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8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Filing Date</w:t>
            </w:r>
          </w:p>
        </w:tc>
      </w:tr>
      <w:tr>
        <w:trPr/>
        <w:tc>
          <w:tcPr>
            <w:tcW w:w="811" w:type="dxa"/>
            <w:tcBorders/>
            <w:shd w:fill="FFFFFF" w:val="clear"/>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40" w:after="283"/>
              <w:jc w:val="left"/>
              <w:rPr/>
            </w:pPr>
            <w:r>
              <w:rPr/>
              <w:t> </w:t>
            </w:r>
          </w:p>
        </w:tc>
        <w:tc>
          <w:tcPr>
            <w:tcW w:w="5183" w:type="dxa"/>
            <w:tcBorders/>
            <w:shd w:fill="FFFFFF" w:val="clear"/>
            <w:tcMar>
              <w:top w:w="0" w:type="dxa"/>
              <w:left w:w="0" w:type="dxa"/>
              <w:bottom w:w="0" w:type="dxa"/>
              <w:right w:w="0" w:type="dxa"/>
            </w:tcMar>
            <w:vAlign w:val="center"/>
          </w:tcPr>
          <w:p>
            <w:pPr>
              <w:pStyle w:val="TableContents"/>
              <w:bidi w:val="0"/>
              <w:spacing w:before="40" w:after="283"/>
              <w:jc w:val="left"/>
              <w:rPr/>
            </w:pPr>
            <w:hyperlink r:id="rId15">
              <w:r>
                <w:rPr>
                  <w:rStyle w:val="InternetLink"/>
                  <w:rFonts w:ascii="Times New Roman" w:hAnsi="Times New Roman"/>
                  <w:color w:val="0000FF"/>
                  <w:sz w:val="20"/>
                  <w:u w:val="single"/>
                </w:rPr>
                <w:t>Amended and Restated Certificate of Incorporation of the Registrant.</w:t>
              </w:r>
            </w:hyperlink>
          </w:p>
        </w:tc>
        <w:tc>
          <w:tcPr>
            <w:tcW w:w="146" w:type="dxa"/>
            <w:tcBorders/>
            <w:shd w:fill="FFFFFF" w:val="clear"/>
            <w:tcMar>
              <w:top w:w="0" w:type="dxa"/>
              <w:left w:w="0" w:type="dxa"/>
              <w:bottom w:w="0" w:type="dxa"/>
              <w:right w:w="0" w:type="dxa"/>
            </w:tcMar>
            <w:vAlign w:val="center"/>
          </w:tcPr>
          <w:p>
            <w:pPr>
              <w:pStyle w:val="TableContents"/>
              <w:bidi w:val="0"/>
              <w:spacing w:before="4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4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001-42382</w:t>
            </w:r>
          </w:p>
        </w:tc>
        <w:tc>
          <w:tcPr>
            <w:tcW w:w="146" w:type="dxa"/>
            <w:tcBorders/>
            <w:shd w:fill="FFFFFF" w:val="clear"/>
            <w:tcMar>
              <w:top w:w="0" w:type="dxa"/>
              <w:left w:w="0" w:type="dxa"/>
              <w:bottom w:w="0" w:type="dxa"/>
              <w:right w:w="0" w:type="dxa"/>
            </w:tcMar>
            <w:vAlign w:val="center"/>
          </w:tcPr>
          <w:p>
            <w:pPr>
              <w:pStyle w:val="TableContents"/>
              <w:bidi w:val="0"/>
              <w:spacing w:before="4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40" w:after="283"/>
              <w:jc w:val="center"/>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October 28, 2024</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Amended and Restated Bylaws of the Registrant.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28, 2024</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Amended and Restated Investors’ Rights Agreement, by and among the Registrant and certain of its stockholders, dated as of June 28, 2023</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333-282469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24, 2024</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Specimen Common Stock Certificate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333-282469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24, 2024</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epn-ex4_3.htm">
              <w:r>
                <w:rPr>
                  <w:rStyle w:val="InternetLink"/>
                  <w:rFonts w:ascii="Times New Roman" w:hAnsi="Times New Roman"/>
                  <w:color w:val="0000FF"/>
                  <w:sz w:val="20"/>
                  <w:u w:val="single"/>
                </w:rPr>
                <w:t>Description of Securities of the Registrant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2021 Stock Option and Grant Plan, as amended, and forms of award agreements thereunder</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333-282469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21, 2024</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2024 Stock Option and Incentive Plan and forms of award agreements thereunder</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333-282469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21, 2024</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2024 Employee Stock Purchase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333-282469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21, 2024</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Form of Non-Employee Director Indemnification Agreement, by and between the Registrant and each of its non-employee directors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333-282469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21, 2024</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Form of Employee Director / Officer Indemnification Agreement, by and between the Registrant and each of its executive officers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333-282469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21, 2024</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Employment Agreement, by and between the Registrant and Jeffrey Finer, dated as of September 9, 2022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333-282469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21, 2024</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Employment Agreement, by and between the Registrant and Ran Xiao, dated as of January 18, 2022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333-282469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21, 2024</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Employment Agreement, by and between the Registrant and Liz Bhatt, dated as of May 20, 2022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333-282469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21, 2024</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Employment Agreement, by and between the Registrant and Jae B. Kim, dated as of September 4, 2024</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333-282469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21, 2024</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Employment Agreement, by and between the Registrant and Samira Shaikhly, dated as of December 22, 2022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333-282469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21, 2024</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Employment Agreement, by and between the Registrant and Uwe Klein, dated as of February 17, 2021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333-282469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21, 2024</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Employment Agreement, by and between the Registrant and Daniel Long, dated as of September 27, 2021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333-282469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21, 2024</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Amended and Restated Non-Employee Director Compensation Policy</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10, 2025</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Senior Executive Cash Incentive Bonus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333-282469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21, 2024</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Offer Letter, by and between the Company and Gil M. Labrucherie, dated as of December 6, 2024.</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6, 2025</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Executive Severance Plan of the Registrant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333-282469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21, 2024</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9"/>
        <w:gridCol w:w="146"/>
        <w:gridCol w:w="6176"/>
        <w:gridCol w:w="146"/>
        <w:gridCol w:w="395"/>
        <w:gridCol w:w="146"/>
        <w:gridCol w:w="789"/>
        <w:gridCol w:w="146"/>
        <w:gridCol w:w="571"/>
        <w:gridCol w:w="146"/>
        <w:gridCol w:w="905"/>
      </w:tblGrid>
      <w:tr>
        <w:trPr/>
        <w:tc>
          <w:tcPr>
            <w:tcW w:w="6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r>
      <w:tr>
        <w:trPr/>
        <w:tc>
          <w:tcPr>
            <w:tcW w:w="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Lease Agreement, by and between the Registrant and Britannia Pointe Grant Limited Partnership, dated as of April 20, 2021, as amended by the First Amendment to Lease Agreement dated as of September 14, 2022, Second Amendment to Lease Agreement dated as of September 23, 2022, Third Amendment to Lease Agreement dated as of December 22, 2022, and Fourth Amendment to Lease Agreement dated as of December 12, 2023</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333-282469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21, 2024</w:t>
            </w:r>
          </w:p>
        </w:tc>
      </w:tr>
      <w:tr>
        <w:trPr/>
        <w:tc>
          <w:tcPr>
            <w:tcW w:w="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Service Agreement, by and between the Registrant and Third Rock Ventures, LLC, dated as of August 25, 2021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333-282469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21, 2024</w:t>
            </w:r>
          </w:p>
        </w:tc>
      </w:tr>
      <w:tr>
        <w:trPr/>
        <w:tc>
          <w:tcPr>
            <w:tcW w:w="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Novo Collaboration Agreement, between the Registrant and Novo Nordisk A/S, dated as of May 13, 2025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11, 2025</w:t>
            </w:r>
          </w:p>
        </w:tc>
      </w:tr>
      <w:tr>
        <w:trPr/>
        <w:tc>
          <w:tcPr>
            <w:tcW w:w="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epn-ex10_20.htm">
              <w:r>
                <w:rPr>
                  <w:rStyle w:val="InternetLink"/>
                  <w:rFonts w:ascii="Times New Roman" w:hAnsi="Times New Roman"/>
                  <w:color w:val="0000FF"/>
                  <w:sz w:val="20"/>
                  <w:u w:val="single"/>
                </w:rPr>
                <w:t>Employment Agreement, by and between the Registrant and Mark Wilson, dated as of January 6, 2026</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Insider Trading Policy of the Registrant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27, 2025</w:t>
            </w:r>
          </w:p>
        </w:tc>
      </w:tr>
      <w:tr>
        <w:trPr/>
        <w:tc>
          <w:tcPr>
            <w:tcW w:w="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Subsidiaries of the Registrant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333-282469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21, 2024</w:t>
            </w:r>
          </w:p>
        </w:tc>
      </w:tr>
      <w:tr>
        <w:trPr/>
        <w:tc>
          <w:tcPr>
            <w:tcW w:w="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epn-ex23_1.htm">
              <w:r>
                <w:rPr>
                  <w:rStyle w:val="InternetLink"/>
                  <w:rFonts w:ascii="Times New Roman" w:hAnsi="Times New Roman"/>
                  <w:color w:val="0000FF"/>
                  <w:sz w:val="20"/>
                  <w:u w:val="single"/>
                </w:rPr>
                <w:t>Consent of Independent Registered Public Accounting Firm</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Power of Attorney (included on signature page)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epn-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epn-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epn-ex32_1.htm">
              <w:r>
                <w:rPr>
                  <w:rStyle w:val="InternetLink"/>
                  <w:rFonts w:ascii="Times New Roman" w:hAnsi="Times New Roman"/>
                  <w:color w:val="0000FF"/>
                  <w:sz w:val="20"/>
                  <w:u w:val="single"/>
                </w:rPr>
                <w:t>Certifications of Principal Executive Officer and Principal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Compensation Recovery Policy of the Registrant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333-282469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21, 2024</w:t>
            </w:r>
          </w:p>
        </w:tc>
      </w:tr>
      <w:tr>
        <w:trPr/>
        <w:tc>
          <w:tcPr>
            <w:tcW w:w="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4" w:space="1" w:color="000000"/>
        </w:pBdr>
        <w:bidi w:val="0"/>
        <w:jc w:val="left"/>
        <w:rPr/>
      </w:pPr>
      <w:r>
        <w:rPr/>
        <w:t> </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Portions of this exhibit (indicated by asterisks) have been omitted in accordance with the rules of the SEC because the Registrant has determined that information is both not material and is the type that the registrant treats as private or confidential.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 The certifications furnished in Exhibit 32.1 hereto are deemed to be furnished with this Annual Report and will not be deemed to be “filed” for purposes of Section 18 of the Exchange Act, except to the extent that the Registrant specifically incorporates it by reference. </w:t>
      </w:r>
    </w:p>
    <w:p>
      <w:pPr>
        <w:pStyle w:val="TextBody"/>
        <w:bidi w:val="0"/>
        <w:jc w:val="both"/>
        <w:rPr>
          <w:rFonts w:ascii="Times New Roman" w:hAnsi="Times New Roman"/>
          <w:color w:val="000000"/>
          <w:sz w:val="20"/>
        </w:rPr>
      </w:pPr>
      <w:r>
        <w:rPr>
          <w:rFonts w:ascii="Times New Roman" w:hAnsi="Times New Roman"/>
          <w:color w:val="000000"/>
          <w:sz w:val="20"/>
        </w:rPr>
        <w:t># Indicates a management contract or any compensatory plan, contract or arrangement.</w:t>
      </w:r>
    </w:p>
    <w:p>
      <w:pPr>
        <w:pStyle w:val="TextBody"/>
        <w:bidi w:val="0"/>
        <w:jc w:val="both"/>
        <w:rPr>
          <w:rFonts w:ascii="Times New Roman" w:hAnsi="Times New Roman"/>
          <w:color w:val="000000"/>
          <w:sz w:val="20"/>
        </w:rPr>
      </w:pPr>
      <w:r>
        <w:rPr>
          <w:rFonts w:ascii="Times New Roman" w:hAnsi="Times New Roman"/>
          <w:color w:val="000000"/>
          <w:sz w:val="20"/>
        </w:rPr>
        <w:t> Annexes, schedules and/or exhibits have been omitted pursuant to Item 601(a)(5) of Regulation S-K. The Registrant agrees to furnish supplementally a copy of any omitted attachment to the SEC on a confidential basis upon request.</w:t>
      </w:r>
    </w:p>
    <w:p>
      <w:pPr>
        <w:pStyle w:val="TextBody"/>
        <w:bidi w:val="0"/>
        <w:spacing w:before="360" w:after="283"/>
        <w:jc w:val="left"/>
        <w:rPr>
          <w:rFonts w:ascii="Times New Roman" w:hAnsi="Times New Roman"/>
          <w:sz w:val="20"/>
        </w:rPr>
      </w:pPr>
      <w:bookmarkStart w:id="31" w:name="item_16_form_10k_summary"/>
      <w:bookmarkEnd w:id="31"/>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2" w:name="signatures"/>
      <w:bookmarkEnd w:id="32"/>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as amended, the Registrant has duly caused this Annual Report to be signed on its behalf by the undersigned, thereunto duly authorized.</w:t>
      </w:r>
    </w:p>
    <w:p>
      <w:pPr>
        <w:pStyle w:val="TextBody"/>
        <w:bidi w:val="0"/>
        <w:jc w:val="left"/>
        <w:rPr/>
      </w:pPr>
      <w:r>
        <w:rPr/>
        <w:t> </w:t>
      </w:r>
    </w:p>
    <w:tbl>
      <w:tblPr>
        <w:tblW w:w="4717" w:type="dxa"/>
        <w:jc w:val="left"/>
        <w:tblInd w:w="0" w:type="dxa"/>
        <w:tblLayout w:type="fixed"/>
        <w:tblCellMar>
          <w:top w:w="28" w:type="dxa"/>
          <w:left w:w="28" w:type="dxa"/>
          <w:bottom w:w="28" w:type="dxa"/>
          <w:right w:w="28" w:type="dxa"/>
        </w:tblCellMar>
      </w:tblPr>
      <w:tblGrid>
        <w:gridCol w:w="1786"/>
        <w:gridCol w:w="109"/>
        <w:gridCol w:w="406"/>
        <w:gridCol w:w="2416"/>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Septerna, Inc.</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9,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Jeffrey Finer, M.D., Ph.D.</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Jeffrey Finer, M.D., Ph.D.</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POWER OF ATTORNEY AND 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KNOW ALL BY THESE PRESENT, that each individual whose signature appears below hereby constitutes and appoints each of Jeffrey Finer and Gil M. Labrucherie, as such person’s true and lawful attorney-in-fact and agent with full power of substitution and resubstitution, for such person in such person’s name, place and stead, in any and all capacities, to sign any and all amendments (including post-effective amendments) to this Annual Report on Form 10-K,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this Annual Report on Form 10-K has been signed by the following person in the capacities and on the date indicated.</w:t>
      </w:r>
    </w:p>
    <w:p>
      <w:pPr>
        <w:pStyle w:val="TextBody"/>
        <w:bidi w:val="0"/>
        <w:jc w:val="left"/>
        <w:rPr/>
      </w:pPr>
      <w:r>
        <w:rPr/>
        <w:t> </w:t>
      </w:r>
    </w:p>
    <w:tbl>
      <w:tblPr>
        <w:tblW w:w="9880" w:type="dxa"/>
        <w:jc w:val="left"/>
        <w:tblInd w:w="0" w:type="dxa"/>
        <w:tblLayout w:type="fixed"/>
        <w:tblCellMar>
          <w:top w:w="28" w:type="dxa"/>
          <w:left w:w="28" w:type="dxa"/>
          <w:bottom w:w="28" w:type="dxa"/>
          <w:right w:w="28" w:type="dxa"/>
        </w:tblCellMar>
      </w:tblPr>
      <w:tblGrid>
        <w:gridCol w:w="3301"/>
        <w:gridCol w:w="146"/>
        <w:gridCol w:w="4951"/>
        <w:gridCol w:w="146"/>
        <w:gridCol w:w="1336"/>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Jeffrey Finer, M.D., Ph.D.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9, 2026</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Jeffrey Finer, M.D.,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Gil M. Labrucherie, CFA, J.D.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9, 2026</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Gil M. Labrucherie, CFA, J.D.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Jeffrey Tong, Ph.D.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9, 2026</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Jeffrey Tong,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Abraham Bassan, 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9, 2026</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Abraham Bassan, 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Bernard Coulie, M.D., Ph.D., M.B.A.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9, 2026</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Bernard Coulie, M.D., Ph.D., M.B.A.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Alan Ezekowitz, M.D., D.Phil.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9, 2026</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Alan Ezekowitz, M.D., D.Phil.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Shalini Sharp, M.B.A.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9, 2026</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Shalini Sharp, M.B.A.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Jake Simson, Ph.D.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9, 2026</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Jake Simson,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Keith Gottesdiener, M.D.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9, 2026</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Keith Gottesdiener,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r>
        <w:rPr>
          <w:rFonts w:ascii="Times New Roman" w:hAnsi="Times New Roman"/>
          <w:color w:val="000000"/>
          <w:sz w:val="20"/>
        </w:rPr>
        <w:t>SEPTERNA, INC.</w:t>
      </w:r>
    </w:p>
    <w:p>
      <w:pPr>
        <w:pStyle w:val="Heading1"/>
        <w:bidi w:val="0"/>
        <w:spacing w:before="240" w:after="283"/>
        <w:jc w:val="center"/>
        <w:rPr>
          <w:rFonts w:ascii="Times New Roman" w:hAnsi="Times New Roman"/>
          <w:caps/>
          <w:color w:val="000000"/>
          <w:sz w:val="20"/>
        </w:rPr>
      </w:pPr>
      <w:r>
        <w:rPr>
          <w:rFonts w:ascii="Times New Roman" w:hAnsi="Times New Roman"/>
          <w:caps/>
          <w:color w:val="000000"/>
          <w:sz w:val="20"/>
        </w:rPr>
        <w:t>Index to Financial Statements</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Financial Statements as of and for the Years Ended December 2025 and 2024</w:t>
      </w:r>
    </w:p>
    <w:p>
      <w:pPr>
        <w:pStyle w:val="Heading1"/>
        <w:bidi w:val="0"/>
        <w:jc w:val="left"/>
        <w:rPr/>
      </w:pPr>
      <w:r>
        <w:rPr/>
        <w:t> </w:t>
      </w:r>
    </w:p>
    <w:tbl>
      <w:tblPr>
        <w:tblW w:w="6748" w:type="dxa"/>
        <w:jc w:val="left"/>
        <w:tblInd w:w="0" w:type="dxa"/>
        <w:tblLayout w:type="fixed"/>
        <w:tblCellMar>
          <w:top w:w="28" w:type="dxa"/>
          <w:left w:w="28" w:type="dxa"/>
          <w:bottom w:w="28" w:type="dxa"/>
          <w:right w:w="28" w:type="dxa"/>
        </w:tblCellMar>
      </w:tblPr>
      <w:tblGrid>
        <w:gridCol w:w="6181"/>
        <w:gridCol w:w="146"/>
        <w:gridCol w:w="421"/>
      </w:tblGrid>
      <w:tr>
        <w:trPr/>
        <w:tc>
          <w:tcPr>
            <w:tcW w:w="6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6181" w:type="dxa"/>
            <w:tcBorders/>
            <w:tcMar>
              <w:top w:w="0" w:type="dxa"/>
              <w:left w:w="0" w:type="dxa"/>
              <w:bottom w:w="0" w:type="dxa"/>
              <w:right w:w="0" w:type="dxa"/>
            </w:tcMar>
            <w:vAlign w:val="center"/>
          </w:tcPr>
          <w:p>
            <w:pPr>
              <w:pStyle w:val="TableContents"/>
              <w:bidi w:val="0"/>
              <w:spacing w:before="0" w:after="283"/>
              <w:jc w:val="left"/>
              <w:rPr/>
            </w:pPr>
            <w:hyperlink w:anchor="report_of_independent_registered">
              <w:r>
                <w:rPr>
                  <w:rStyle w:val="InternetLink"/>
                  <w:rFonts w:ascii="Times New Roman" w:hAnsi="Times New Roman"/>
                  <w:color w:val="0000FF"/>
                  <w:sz w:val="20"/>
                  <w:u w:val="single"/>
                </w:rPr>
                <w:t>Report of Independent Registered Public Accounting Firm</w:t>
              </w:r>
            </w:hyperlink>
            <w:r>
              <w:rPr>
                <w:rFonts w:ascii="Times New Roman" w:hAnsi="Times New Roman"/>
                <w:color w:val="000000"/>
                <w:sz w:val="20"/>
              </w:rPr>
              <w:t> (</w:t>
            </w:r>
            <w:r>
              <w:rPr>
                <w:rFonts w:ascii="Times New Roman" w:hAnsi="Times New Roman"/>
                <w:color w:val="000000"/>
                <w:sz w:val="20"/>
                <w:u w:val="single"/>
              </w:rPr>
              <w:t>PCAOB ID:42</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F-2</w:t>
            </w:r>
          </w:p>
        </w:tc>
      </w:tr>
      <w:tr>
        <w:trPr/>
        <w:tc>
          <w:tcPr>
            <w:tcW w:w="6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Statements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181"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Balance Sheets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F-3</w:t>
            </w:r>
          </w:p>
        </w:tc>
      </w:tr>
      <w:tr>
        <w:trPr/>
        <w:tc>
          <w:tcPr>
            <w:tcW w:w="6181" w:type="dxa"/>
            <w:tcBorders/>
            <w:tcMar>
              <w:top w:w="0" w:type="dxa"/>
              <w:left w:w="0" w:type="dxa"/>
              <w:bottom w:w="0" w:type="dxa"/>
              <w:right w:w="0" w:type="dxa"/>
            </w:tcMar>
            <w:vAlign w:val="center"/>
          </w:tcPr>
          <w:p>
            <w:pPr>
              <w:pStyle w:val="TableContents"/>
              <w:bidi w:val="0"/>
              <w:spacing w:before="0" w:after="283"/>
              <w:jc w:val="left"/>
              <w:rPr/>
            </w:pPr>
            <w:hyperlink w:anchor="statements_operations_comprehens_income">
              <w:r>
                <w:rPr>
                  <w:rStyle w:val="InternetLink"/>
                  <w:rFonts w:ascii="Times New Roman" w:hAnsi="Times New Roman"/>
                  <w:color w:val="0000FF"/>
                  <w:sz w:val="20"/>
                  <w:u w:val="single"/>
                </w:rPr>
                <w:t>Statements of Operations and Comprehensive Loss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w:t>
            </w:r>
          </w:p>
        </w:tc>
      </w:tr>
      <w:tr>
        <w:trPr/>
        <w:tc>
          <w:tcPr>
            <w:tcW w:w="6181" w:type="dxa"/>
            <w:tcBorders/>
            <w:tcMar>
              <w:top w:w="0" w:type="dxa"/>
              <w:left w:w="0" w:type="dxa"/>
              <w:bottom w:w="0" w:type="dxa"/>
              <w:right w:w="0" w:type="dxa"/>
            </w:tcMar>
            <w:vAlign w:val="center"/>
          </w:tcPr>
          <w:p>
            <w:pPr>
              <w:pStyle w:val="TableContents"/>
              <w:bidi w:val="0"/>
              <w:spacing w:before="0" w:after="283"/>
              <w:jc w:val="left"/>
              <w:rPr/>
            </w:pPr>
            <w:hyperlink w:anchor="consolidated_statements_convertible_pref">
              <w:r>
                <w:rPr>
                  <w:rStyle w:val="InternetLink"/>
                  <w:rFonts w:ascii="Times New Roman" w:hAnsi="Times New Roman"/>
                  <w:color w:val="0000FF"/>
                  <w:sz w:val="20"/>
                  <w:u w:val="single"/>
                </w:rPr>
                <w:t>Statements of Convertible Preferred Stock and Stockholders’ Equity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F-5</w:t>
            </w:r>
          </w:p>
        </w:tc>
      </w:tr>
      <w:tr>
        <w:trPr/>
        <w:tc>
          <w:tcPr>
            <w:tcW w:w="6181" w:type="dxa"/>
            <w:tcBorders/>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F-6</w:t>
            </w:r>
          </w:p>
        </w:tc>
      </w:tr>
      <w:tr>
        <w:trPr/>
        <w:tc>
          <w:tcPr>
            <w:tcW w:w="6181" w:type="dxa"/>
            <w:tcBorders/>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F-8</w:t>
            </w:r>
          </w:p>
        </w:tc>
      </w:tr>
    </w:tbl>
    <w:p>
      <w:pPr>
        <w:pStyle w:val="Heading1"/>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333333"/>
          <w:sz w:val="20"/>
        </w:rPr>
      </w:pPr>
      <w:bookmarkStart w:id="33" w:name="report_of_independent_registered"/>
      <w:bookmarkEnd w:id="33"/>
      <w:r>
        <w:rPr>
          <w:rFonts w:ascii="Times New Roman" w:hAnsi="Times New Roman"/>
          <w:b/>
          <w:color w:val="333333"/>
          <w:sz w:val="20"/>
        </w:rPr>
        <w:t>Report of Independent Registered Public Accounting Firm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 the Stockholders and the Board of Directors of </w:t>
      </w:r>
    </w:p>
    <w:p>
      <w:pPr>
        <w:pStyle w:val="TextBody"/>
        <w:bidi w:val="0"/>
        <w:jc w:val="both"/>
        <w:rPr>
          <w:rFonts w:ascii="Times New Roman" w:hAnsi="Times New Roman"/>
          <w:color w:val="000000"/>
          <w:sz w:val="20"/>
        </w:rPr>
      </w:pPr>
      <w:r>
        <w:rPr>
          <w:rFonts w:ascii="Times New Roman" w:hAnsi="Times New Roman"/>
          <w:color w:val="000000"/>
          <w:sz w:val="20"/>
        </w:rPr>
        <w:t>Septerna, Inc.</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audited the accompanying balance sheets of Septerna, Inc. (the Company) as of December 31, 2025 and 2024, the related statements of operations and comprehensive loss, convertible preferred stock and stockholders’ equity, and cash flows for each of the two years in the period ended December 31, 2025, and the related notes (collectively referred to as the “financial statements”). In our opinion, the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Basis for Opinion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rFonts w:ascii="Times New Roman" w:hAnsi="Times New Roman"/>
          <w:color w:val="000000"/>
          <w:sz w:val="20"/>
        </w:rPr>
      </w:pPr>
      <w:r>
        <w:rPr>
          <w:rFonts w:ascii="Times New Roman" w:hAnsi="Times New Roman"/>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jc w:val="both"/>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 Ernst &amp; Young LLP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served as the Company’s auditor since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San Mateo, California</w:t>
      </w:r>
    </w:p>
    <w:p>
      <w:pPr>
        <w:pStyle w:val="TextBody"/>
        <w:bidi w:val="0"/>
        <w:jc w:val="both"/>
        <w:rPr>
          <w:rFonts w:ascii="Times New Roman" w:hAnsi="Times New Roman"/>
          <w:color w:val="000000"/>
          <w:sz w:val="20"/>
        </w:rPr>
      </w:pPr>
      <w:r>
        <w:rPr>
          <w:rFonts w:ascii="Times New Roman" w:hAnsi="Times New Roman"/>
          <w:color w:val="000000"/>
          <w:sz w:val="20"/>
        </w:rPr>
        <w:t>March 9,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SEPTERNA, INC.</w:t>
      </w:r>
    </w:p>
    <w:p>
      <w:pPr>
        <w:pStyle w:val="TextBody"/>
        <w:bidi w:val="0"/>
        <w:spacing w:before="240" w:after="283"/>
        <w:jc w:val="center"/>
        <w:rPr>
          <w:rFonts w:ascii="Times New Roman" w:hAnsi="Times New Roman"/>
          <w:b/>
          <w:color w:val="000000"/>
          <w:sz w:val="20"/>
        </w:rPr>
      </w:pPr>
      <w:bookmarkStart w:id="34" w:name="consolidated_balance_sheets"/>
      <w:bookmarkEnd w:id="34"/>
      <w:r>
        <w:rPr>
          <w:rFonts w:ascii="Times New Roman" w:hAnsi="Times New Roman"/>
          <w:b/>
          <w:color w:val="000000"/>
          <w:sz w:val="20"/>
        </w:rPr>
        <w:t>Balance Sheets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for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32"/>
        <w:gridCol w:w="146"/>
        <w:gridCol w:w="211"/>
        <w:gridCol w:w="841"/>
        <w:gridCol w:w="166"/>
        <w:gridCol w:w="146"/>
        <w:gridCol w:w="211"/>
        <w:gridCol w:w="841"/>
        <w:gridCol w:w="811"/>
      </w:tblGrid>
      <w:tr>
        <w:trPr/>
        <w:tc>
          <w:tcPr>
            <w:tcW w:w="6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238,196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112,727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356,824</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69,866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23,602</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596,187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456,554</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12,849</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Preferred stock, $0.001 par value; 10,000,000 shares authorized as of December 31, </w:t>
              <w:br/>
              <w:t xml:space="preserve">   2025 and December 31, 2024; no shares issued and outstanding as of December 31, </w:t>
              <w:br/>
              <w:t>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Common stock, $0.001 par value per share, 500,000,000 shares </w:t>
              <w:br/>
              <w:t xml:space="preserve">   authorized at December 31, 2025 and December 31, 2024; 44,806,272 and </w:t>
              <w:br/>
              <w:t xml:space="preserve">   44,422,505 shares issued and outstanding at December 31, 2025 and December 31, </w:t>
              <w:br/>
              <w:t xml:space="preserve">   2024 respectively; 131,224 and 576,829 shares subject to repurchase as of </w:t>
              <w:br/>
              <w:t>   December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538,321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(118,374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420,047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596,187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456,554</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SEPTERNA, INC.</w:t>
      </w:r>
    </w:p>
    <w:p>
      <w:pPr>
        <w:pStyle w:val="TextBody"/>
        <w:bidi w:val="0"/>
        <w:spacing w:before="240" w:after="283"/>
        <w:jc w:val="center"/>
        <w:rPr>
          <w:rFonts w:ascii="Times New Roman" w:hAnsi="Times New Roman"/>
          <w:b/>
          <w:color w:val="000000"/>
          <w:sz w:val="20"/>
        </w:rPr>
      </w:pPr>
      <w:bookmarkStart w:id="35" w:name="statements_operations_comprehens_income"/>
      <w:bookmarkEnd w:id="35"/>
      <w:r>
        <w:rPr>
          <w:rFonts w:ascii="Times New Roman" w:hAnsi="Times New Roman"/>
          <w:b/>
          <w:color w:val="000000"/>
          <w:sz w:val="20"/>
        </w:rPr>
        <w:t>Statements of Operations and Comprehensive Loss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for share and per share data)</w:t>
      </w:r>
    </w:p>
    <w:p>
      <w:pPr>
        <w:pStyle w:val="TextBody"/>
        <w:bidi w:val="0"/>
        <w:jc w:val="center"/>
        <w:rPr/>
      </w:pPr>
      <w:r>
        <w:rPr/>
        <w:t> </w:t>
      </w:r>
    </w:p>
    <w:tbl>
      <w:tblPr>
        <w:tblW w:w="8889" w:type="dxa"/>
        <w:jc w:val="left"/>
        <w:tblInd w:w="0" w:type="dxa"/>
        <w:tblLayout w:type="fixed"/>
        <w:tblCellMar>
          <w:top w:w="28" w:type="dxa"/>
          <w:left w:w="28" w:type="dxa"/>
          <w:bottom w:w="28" w:type="dxa"/>
          <w:right w:w="28" w:type="dxa"/>
        </w:tblCellMar>
      </w:tblPr>
      <w:tblGrid>
        <w:gridCol w:w="4651"/>
        <w:gridCol w:w="146"/>
        <w:gridCol w:w="211"/>
        <w:gridCol w:w="1036"/>
        <w:gridCol w:w="546"/>
        <w:gridCol w:w="546"/>
        <w:gridCol w:w="211"/>
        <w:gridCol w:w="931"/>
        <w:gridCol w:w="61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45,951</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97,584</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65,337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29,164</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non-financial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114,248</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81,898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(68,297</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(80,823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19,530</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19,430</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(48,867</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(72,296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(48,879</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(71,798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44,258,338</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9,891,126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(48,879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(71,798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unrealized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(48,318</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(71,742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1"/>
        <w:bidi w:val="0"/>
        <w:spacing w:before="0" w:after="240"/>
        <w:jc w:val="center"/>
        <w:rPr>
          <w:rFonts w:ascii="Times New Roman" w:hAnsi="Times New Roman"/>
          <w:color w:val="000000"/>
          <w:sz w:val="20"/>
        </w:rPr>
      </w:pPr>
      <w:r>
        <w:rPr>
          <w:rFonts w:ascii="Times New Roman" w:hAnsi="Times New Roman"/>
          <w:color w:val="000000"/>
          <w:sz w:val="20"/>
        </w:rPr>
        <w:t>SEPTERNA, INC.</w:t>
      </w:r>
    </w:p>
    <w:p>
      <w:pPr>
        <w:pStyle w:val="Heading1"/>
        <w:bidi w:val="0"/>
        <w:jc w:val="center"/>
        <w:rPr>
          <w:rFonts w:ascii="Times New Roman" w:hAnsi="Times New Roman"/>
          <w:color w:val="000000"/>
          <w:sz w:val="20"/>
        </w:rPr>
      </w:pPr>
      <w:bookmarkStart w:id="36" w:name="consolidated_statements_convertible_pref"/>
      <w:bookmarkEnd w:id="36"/>
      <w:r>
        <w:rPr>
          <w:rFonts w:ascii="Times New Roman" w:hAnsi="Times New Roman"/>
          <w:color w:val="000000"/>
          <w:sz w:val="20"/>
        </w:rPr>
        <w:t>Statements of Convertible Preferred Stock and Stockholders’ Equity</w:t>
      </w:r>
    </w:p>
    <w:p>
      <w:pPr>
        <w:pStyle w:val="Heading1"/>
        <w:bidi w:val="0"/>
        <w:jc w:val="both"/>
        <w:rPr/>
      </w:pPr>
      <w:r>
        <w:rPr/>
        <w:t> </w:t>
      </w:r>
    </w:p>
    <w:tbl>
      <w:tblPr>
        <w:tblW w:w="11653" w:type="dxa"/>
        <w:jc w:val="left"/>
        <w:tblInd w:w="0" w:type="dxa"/>
        <w:tblLayout w:type="fixed"/>
        <w:tblCellMar>
          <w:top w:w="28" w:type="dxa"/>
          <w:left w:w="28" w:type="dxa"/>
          <w:bottom w:w="28" w:type="dxa"/>
          <w:right w:w="28" w:type="dxa"/>
        </w:tblCellMar>
      </w:tblPr>
      <w:tblGrid>
        <w:gridCol w:w="876"/>
        <w:gridCol w:w="146"/>
        <w:gridCol w:w="146"/>
        <w:gridCol w:w="691"/>
        <w:gridCol w:w="151"/>
        <w:gridCol w:w="146"/>
        <w:gridCol w:w="166"/>
        <w:gridCol w:w="481"/>
        <w:gridCol w:w="151"/>
        <w:gridCol w:w="146"/>
        <w:gridCol w:w="146"/>
        <w:gridCol w:w="751"/>
        <w:gridCol w:w="151"/>
        <w:gridCol w:w="146"/>
        <w:gridCol w:w="166"/>
        <w:gridCol w:w="541"/>
        <w:gridCol w:w="151"/>
        <w:gridCol w:w="146"/>
        <w:gridCol w:w="146"/>
        <w:gridCol w:w="146"/>
        <w:gridCol w:w="646"/>
        <w:gridCol w:w="151"/>
        <w:gridCol w:w="146"/>
        <w:gridCol w:w="170"/>
        <w:gridCol w:w="356"/>
        <w:gridCol w:w="146"/>
        <w:gridCol w:w="146"/>
        <w:gridCol w:w="166"/>
        <w:gridCol w:w="496"/>
        <w:gridCol w:w="151"/>
        <w:gridCol w:w="146"/>
        <w:gridCol w:w="296"/>
        <w:gridCol w:w="620"/>
        <w:gridCol w:w="146"/>
        <w:gridCol w:w="146"/>
        <w:gridCol w:w="186"/>
        <w:gridCol w:w="610"/>
        <w:gridCol w:w="151"/>
        <w:gridCol w:w="146"/>
        <w:gridCol w:w="192"/>
        <w:gridCol w:w="574"/>
        <w:gridCol w:w="276"/>
      </w:tblGrid>
      <w:tr>
        <w:trPr/>
        <w:tc>
          <w:tcPr>
            <w:tcW w:w="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1377" w:type="dxa"/>
            <w:gridSpan w:val="4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except for share data)</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Convertible 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A</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Series B</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75,000,000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74,694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60,828,720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74,521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3,168,134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(46,576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(38,374</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Issuance of Series B Convertible</w:t>
              <w:br/>
              <w:t>   Preferred Stock, net of issuance</w:t>
              <w:br/>
              <w:t>   costs of $58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60,828,732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74,942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 xml:space="preserve">Issuance of common stock in </w:t>
              <w:br/>
              <w:t>   connection with initial public</w:t>
              <w:br/>
              <w:t xml:space="preserve">   offering, net of issuance costs </w:t>
              <w:br/>
              <w:t>   of $28,431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18,400,000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302,749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302,767</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Conversion of convertible</w:t>
              <w:br/>
              <w:t>   preferred stock to common</w:t>
              <w:br/>
              <w:t>   stock upon initial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(75,000,000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(74,694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(121,657,452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(149,463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22,839,774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224,134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224,157</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 xml:space="preserve">Issuance of common stock </w:t>
              <w:br/>
              <w:t>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28,896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 xml:space="preserve">Vesting of restricted common </w:t>
              <w:br/>
              <w:t>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Repurchases of unvested restricted</w:t>
              <w:br/>
              <w:t>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3,152</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 xml:space="preserve">Net unrealized gain on </w:t>
              <w:br/>
              <w:t>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(71,798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(71,798</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44,422,505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538,321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(118,374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420,047</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 xml:space="preserve">Issuance of common stock </w:t>
              <w:br/>
              <w:t>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268,188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982</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118,191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717</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 xml:space="preserve">Vesting of restricted common </w:t>
              <w:br/>
              <w:t>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Repurchases of unvested restricted</w:t>
              <w:br/>
              <w:t>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8,476</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 xml:space="preserve">Net unrealized gain on </w:t>
              <w:br/>
              <w:t>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561</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(48,879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(48,879</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44,806,272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548,517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(167,253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381,926</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1"/>
        <w:bidi w:val="0"/>
        <w:jc w:val="both"/>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r>
        <w:rPr>
          <w:rFonts w:ascii="Times New Roman" w:hAnsi="Times New Roman"/>
          <w:color w:val="000000"/>
          <w:sz w:val="20"/>
        </w:rPr>
        <w:t>SEPTERNA, INC.</w:t>
      </w:r>
    </w:p>
    <w:p>
      <w:pPr>
        <w:pStyle w:val="TextBody"/>
        <w:bidi w:val="0"/>
        <w:spacing w:before="200" w:after="283"/>
        <w:jc w:val="center"/>
        <w:rPr>
          <w:rFonts w:ascii="Times New Roman" w:hAnsi="Times New Roman"/>
          <w:b/>
          <w:color w:val="000000"/>
          <w:sz w:val="20"/>
        </w:rPr>
      </w:pPr>
      <w:bookmarkStart w:id="37" w:name="consolidated_statements_cash_flows"/>
      <w:bookmarkEnd w:id="37"/>
      <w:r>
        <w:rPr>
          <w:rFonts w:ascii="Times New Roman" w:hAnsi="Times New Roman"/>
          <w:b/>
          <w:color w:val="000000"/>
          <w:sz w:val="20"/>
        </w:rPr>
        <w:t>Statements of Cash Flows</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52"/>
        <w:gridCol w:w="146"/>
        <w:gridCol w:w="211"/>
        <w:gridCol w:w="841"/>
        <w:gridCol w:w="166"/>
        <w:gridCol w:w="146"/>
        <w:gridCol w:w="211"/>
        <w:gridCol w:w="841"/>
        <w:gridCol w:w="591"/>
      </w:tblGrid>
      <w:tr>
        <w:trPr/>
        <w:tc>
          <w:tcPr>
            <w:tcW w:w="7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(71,798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Adjustments to reconcile net loss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non-financial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operating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discounts,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Operating leases,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(67,470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sale of non-financial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of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(213,390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Maturities of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(160,598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Initial Public Offering,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302,788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issuance of Series B Convertible Preferred Stock,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74,942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Repurchases of unvested restricted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377,781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149,713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89,388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239,101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for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Property and equipment included in accounts payable and accrued expenses and other </w:t>
              <w:br/>
              <w:t>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 recognized in exchange for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convertible preferred stock to common stock upon initial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224,157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Unpaid offering costs included in 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Cash, Cash Equivalents and Restricted Cash</w:t>
      </w:r>
      <w:r>
        <w:rPr>
          <w:rFonts w:ascii="Times New Roman" w:hAnsi="Times New Roman"/>
          <w:color w:val="000000"/>
          <w:sz w:val="20"/>
        </w:rPr>
        <w:t>:</w:t>
      </w:r>
    </w:p>
    <w:p>
      <w:pPr>
        <w:pStyle w:val="TextBody"/>
        <w:bidi w:val="0"/>
        <w:jc w:val="left"/>
        <w:rPr/>
      </w:pPr>
      <w:r>
        <w:rPr/>
        <w:t> </w:t>
      </w:r>
    </w:p>
    <w:tbl>
      <w:tblPr>
        <w:tblW w:w="7799" w:type="dxa"/>
        <w:jc w:val="left"/>
        <w:tblInd w:w="0" w:type="dxa"/>
        <w:tblLayout w:type="fixed"/>
        <w:tblCellMar>
          <w:top w:w="28" w:type="dxa"/>
          <w:left w:w="28" w:type="dxa"/>
          <w:bottom w:w="28" w:type="dxa"/>
          <w:right w:w="28" w:type="dxa"/>
        </w:tblCellMar>
      </w:tblPr>
      <w:tblGrid>
        <w:gridCol w:w="5086"/>
        <w:gridCol w:w="146"/>
        <w:gridCol w:w="211"/>
        <w:gridCol w:w="781"/>
        <w:gridCol w:w="146"/>
        <w:gridCol w:w="146"/>
        <w:gridCol w:w="211"/>
        <w:gridCol w:w="781"/>
        <w:gridCol w:w="291"/>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238,196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 at 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239,101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r>
        <w:rPr>
          <w:rFonts w:ascii="Times New Roman" w:hAnsi="Times New Roman"/>
          <w:color w:val="000000"/>
          <w:sz w:val="20"/>
        </w:rPr>
        <w:t>SEPTERNA, INC.</w:t>
      </w:r>
    </w:p>
    <w:p>
      <w:pPr>
        <w:pStyle w:val="TextBody"/>
        <w:bidi w:val="0"/>
        <w:spacing w:before="120" w:after="283"/>
        <w:jc w:val="center"/>
        <w:rPr>
          <w:rFonts w:ascii="Times New Roman" w:hAnsi="Times New Roman"/>
          <w:b/>
          <w:color w:val="000000"/>
          <w:sz w:val="20"/>
        </w:rPr>
      </w:pPr>
      <w:bookmarkStart w:id="38" w:name="notes_to_financial_statements"/>
      <w:bookmarkEnd w:id="38"/>
      <w:r>
        <w:rPr>
          <w:rFonts w:ascii="Times New Roman" w:hAnsi="Times New Roman"/>
          <w:b/>
          <w:color w:val="000000"/>
          <w:sz w:val="20"/>
        </w:rPr>
        <w:t>Notes to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Organization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Description of the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Septerna, Inc. (“Septerna” or the “Company”) is a clinical-stage biotechnology company with a world-class team of G protein-coupled receptor (“GPCR”) experts and drug developers advancing cutting-edge science to unlock the full potential of GPCR therapies for patients with significant unmet needs. The Company’s proprietary Native Complex Platform® is designed to enable new approaches to GPCR drug discovery and has led to the development of a diverse pipeline of novel oral small molecule drug candidates. The Company is advancing programs in endocrinology, immunology and inflammation, metabolic diseases and additional therapeutic areas, both independently and with partners.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proprietary Native Complex Platform® replicates the natural structure, function, and dynamics of GPCRs outside of cells at an industrial scale. The Company’s foundational technologies enable it to isolate, purify, and reconstitute full-length, properly folded GPCR proteins within ternary complexes with ligands and transducer proteins in a lipid bilayer that mimics the cell membrane. The Company then applies state-of-the-art discovery tools and technologies to these defined and tunable protein complexes to structurally design, screen for, and optimize potential product candidates. Leveraging its platform, the Company has transformed GPCR oral small molecule drug discovery to an industrialized and iterative structure-based drug design approach to expand the landscape of druggable GPCR targets with novel oral small molecule medicines for patients. The Company’s Native Complex Platform® is designed to enable it to target certain GPCRs for the first time, uncover novel binding pockets for validated receptors, and pursue a wide spectrum of pharmacologies, including agonists, antagonists, and allosteric modulators, to affect GPCR signaling in different ways to achieve desired therapeutic effects.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was incorporated in Delaware in December 2019, under the name GPCR NewCo, Inc. In June 2021, the Company changed its name to Septerna, Inc. The Company is headquartered in South San Francisco, California.</w:t>
      </w:r>
    </w:p>
    <w:p>
      <w:pPr>
        <w:pStyle w:val="TextBody"/>
        <w:bidi w:val="0"/>
        <w:spacing w:before="360" w:after="283"/>
        <w:jc w:val="both"/>
        <w:rPr>
          <w:rFonts w:ascii="Times New Roman" w:hAnsi="Times New Roman"/>
          <w:sz w:val="20"/>
        </w:rPr>
      </w:pPr>
      <w:r>
        <w:rPr>
          <w:rFonts w:ascii="Times New Roman" w:hAnsi="Times New Roman"/>
          <w:b/>
          <w:i/>
          <w:color w:val="000000"/>
          <w:sz w:val="20"/>
        </w:rPr>
        <w:t>Reverse Stock Split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18, 2024, the Company effected a 1-for-8.6103 reverse stock split of its issued and outstanding shares of common stock. Upon the effectiveness of the reverse stock split, (i) all shares of outstanding common stock were adjusted; (ii) the conversion ratio of the convertible preferred stock was adjusted; (iii) the number of shares of common stock for which each outstanding option to purchase common stock is exercisable were adjusted; and (iv) the exercise price of each outstanding option to purchase common stock was adjusted. All of the outstanding common stock (including shares of common stock subject to the Company’s options and as converted for the outstanding convertible preferred stock), share prices, exercise prices and per share amounts contained in the financial statements have been retroactively adjusted to reflect this reverse stock split for all periods presented. The par value per share and the authorized number of shares of common stock and preferred stock were not adjusted as a result of the reverse stock split. The number of authorized shares did not change.</w:t>
      </w:r>
    </w:p>
    <w:p>
      <w:pPr>
        <w:pStyle w:val="TextBody"/>
        <w:bidi w:val="0"/>
        <w:spacing w:before="360" w:after="283"/>
        <w:jc w:val="left"/>
        <w:rPr>
          <w:rFonts w:ascii="Times New Roman" w:hAnsi="Times New Roman"/>
          <w:sz w:val="20"/>
        </w:rPr>
      </w:pPr>
      <w:r>
        <w:rPr>
          <w:rFonts w:ascii="Times New Roman" w:hAnsi="Times New Roman"/>
          <w:b/>
          <w:i/>
          <w:color w:val="000000"/>
          <w:sz w:val="20"/>
        </w:rPr>
        <w:t>Initial Public Offering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October 2024, the Company completed its initial public offering (“IPO”), pursuant to which it issued and sold an aggregate of 18.4 million shares of its common stock at the IPO price of $18.00 per share, including 2.4 million shares that were issued to the underwriters pursuant to the full exercise of their option to purchase additional shares, resulting in net proceeds of $302.8 million, after deducting underwriting discounts and commissions of $23.2 million, and other offering expenses payable by the Company of $5.2 million. Immediately prior to the closing of the IPO, the Company’s then outstanding convertible preferred stock automatically converted into 22,839,774 shares of common stock.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Following the closing of the IPO, no shares of convertible preferred stock were authorized or outstanding. In connection with the completion of the IPO, on October 28, 2024, the Company’s certificate of incorporation was amended and restated to (i) authorize 500.0 million shares of common stock, par value $0.001 per share, which eliminates all references to the previously existing series of convertible preferred stock; and (ii) authorize 10.0 million shares of undesignated preferred stock, par value $0.001 per share, that may be issued from time to time by the Company’s board of directors in one or more series.</w:t>
      </w:r>
    </w:p>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accompanying financial statements have been prepared assuming the Company will continue as a going concern, which assumes that the Company will realize its assets and satisfies its liabilities in the normal course of business. The Company is subject to risks inherent in operating an early-stage biotechnology business. These risks include, but are not limited to, dependence on the development of marketable products, the ability to attract, retain, and motivate qualified personnel, rapid technological changes and the rapidly evolving nature of the biotechnology industry.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has incurred significant losses and cumulative negative cash flows from operations since its inception and expects to incur losses as a result of its continued research and development activities. To date, none of the Company’s product candidates have been approved by the U.S. Food and Drug Administration (the “FDA”) for commercial sale and, therefore, the Company has not generated any revenue from product sales.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the year ended December 31, 2025, the Company incurred net loss of $48.9 million. The Company had an accumulated deficit of $167.3 million as of December 31, 2025. The Company believes its cash, cash equivalents, and marketable securities of $548.7 million as of December 31, 2025 will be sufficient to fund its operations for, at least, 12 months from the date of issuance of the financial statements.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historically financed its operations primarily through the issuance of convertible promissory notes, convertible preferred stock, the sale of its common stock in an IPO, and most recently, through a one-time, non-refundable upfront payment upon commencement of its collaboration agreement with Novo Nordisk A/S (“Novo”) and achievement of a milestone event pursuant to its agreement with Vertex Pharmaceuticals Incorporated ("Vertex"). The Company expects to continue to generate operating losses for the foreseeable future. The Company will need additional financing to support its continuing operations and pursue its growth strategy. It expects to finance its operations through equity offerings, debt financings or other capital sources, including collaborations with other companies or other strategic transactions. The Company may not be able to obtain funding on acceptable terms, or at all. Any failure to raise capital as and when needed would compromise the Company’s ability to execute on its business plan and may cause the Company to significantly delay, scale back or discontinue the research and development of some of its programs or curtail any efforts to expand its product pipelines and will materially harm its business, financial position and results of operations.</w:t>
      </w:r>
    </w:p>
    <w:p>
      <w:pPr>
        <w:pStyle w:val="TextBody"/>
        <w:bidi w:val="0"/>
        <w:spacing w:before="36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accompanying financial statements have been prepared in accordance with accounting principles generally accepted in the United States of America (“U.S. GAAP”), stated in U.S. dollars and include all adjustments necessary for the fair presentation of the Company’s financial statements as of December 31, 2025 and 2024, and for the years then ended. Any reference in these notes to applicable guidance is meant to refer to the authoritative GAAP as found in the Accounting Standards Codification and Accounting Standards Updates </w:t>
      </w:r>
      <w:r>
        <w:rPr>
          <w:rFonts w:ascii="Times New Roman" w:hAnsi="Times New Roman"/>
          <w:color w:val="231F20"/>
          <w:sz w:val="20"/>
        </w:rPr>
        <w:t>(“</w:t>
      </w:r>
      <w:r>
        <w:rPr>
          <w:rFonts w:ascii="Times New Roman" w:hAnsi="Times New Roman"/>
          <w:color w:val="000000"/>
          <w:sz w:val="20"/>
        </w:rPr>
        <w:t>ASUs</w:t>
      </w:r>
      <w:r>
        <w:rPr>
          <w:rFonts w:ascii="Times New Roman" w:hAnsi="Times New Roman"/>
          <w:color w:val="231F20"/>
          <w:sz w:val="20"/>
        </w:rPr>
        <w:t>”)</w:t>
      </w:r>
      <w:r>
        <w:rPr>
          <w:rFonts w:ascii="Times New Roman" w:hAnsi="Times New Roman"/>
          <w:color w:val="000000"/>
          <w:sz w:val="20"/>
        </w:rPr>
        <w:t xml:space="preserve">, of the Financial Accounting Standards Board </w:t>
      </w:r>
      <w:r>
        <w:rPr>
          <w:rFonts w:ascii="Times New Roman" w:hAnsi="Times New Roman"/>
          <w:color w:val="231F20"/>
          <w:sz w:val="20"/>
        </w:rPr>
        <w:t>(“</w:t>
      </w:r>
      <w:r>
        <w:rPr>
          <w:rFonts w:ascii="Times New Roman" w:hAnsi="Times New Roman"/>
          <w:color w:val="000000"/>
          <w:sz w:val="20"/>
        </w:rPr>
        <w:t>FASB</w:t>
      </w:r>
      <w:r>
        <w:rPr>
          <w:rFonts w:ascii="Times New Roman" w:hAnsi="Times New Roman"/>
          <w:color w:val="231F20"/>
          <w:sz w:val="20"/>
        </w:rPr>
        <w:t>”).</w:t>
      </w:r>
    </w:p>
    <w:p>
      <w:pPr>
        <w:pStyle w:val="TextBody"/>
        <w:bidi w:val="0"/>
        <w:spacing w:before="360" w:after="283"/>
        <w:jc w:val="both"/>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reported amounts of assets and liabilities and disclosures at the date of the financial statements and reported amounts of expenses during the reporting periods. These estimates form the basis for judgments the Company makes about the carrying values of assets and liabilities that are not readily apparent from other sources. The Company bases its estimates using historical experience, Company forecasts and future plans, current economic conditions, and information from third-party professionals that management believes to be reasonable under the circumstances, the results of which form the basis for making judgments about the carrying value of assets and liabilities and recorded amounts of expenses that are not readily apparent from other sources and adjusts those estimates and assumptions when facts and circumstances dictate. Estimates are used in determining the fair value of assets and liabilities, the useful lives of property and equipment, the rate used in determining the present value of lease payments, fair value of assets and liabilities, research and development accruals, the estimated fair value of common stock prior to the Company's IPO and assumptions used in stock-based compensation, the initial allocation and continued evaluation of a revenue contract’s transaction price to each distinct performance obligation on a relative standalone selling price basis, uncertain tax positions and the valuation allowance for deferred income tax assets. Actual results may differ from these estimates and assumptions. As appropriate, we assess estimates each period, update them to reflect current information, and will generally reflect any changes in estimates in the period first identified.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Company’s results can also be affected by economic, political, legislative, regulatory and legal actions. Economic conditions, such as recessionary trends, inflation, interest, tariffs, changes in regulatory laws and monetary exchange rates, and government fiscal policies, can have a significant effect on operations. While the Company maintains reserves for anticipated liabilities, the Company could be affected by civil, criminal, regulatory or administrative actions, claims or proceedings. </w:t>
      </w:r>
    </w:p>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Based on the information used by the CODM to allocate resources, the Company has determined it operates in one segment.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Financial instruments, which potentially subject the Company to a concentration of credit risk, consist primarily of cash, cash equivalents, marketable securities, and accounts receivable. The Company limits its credit risk by placing its cash, cash equivalents, and marketable securities with banks and institutions that are highly creditworthy. Such cash may be in excess of the Federal Deposit Insurance Corporation (“FDIC”) insured limits, and the Company's cash equivalents and marketable securities are not insured by the FDIC. The Company is exposed to credit risk in the event of default by the financial institutions holding its cash, cash equivalents and marketable securities to the extent recorded in the balance sheet.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primary focus of the Company’s investment strategy is to preserve capital and meet liquidity requirements. Management believes that the Company is not exposed to significant credit risk due to the high-credit-quality financial institutions in which those deposits are held. The Company has not experienced any losses on its cash, cash equivalents and marketable securities since inception. The Company has no significant off-balance sheet concentrations of credit risk.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is subject to all of the risks inherent in an early-stage biotechnology company. These risks include, but are not limited to, efficacy of product candidates, intense competition, and dependence upon the availability of liquidity to sustain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Equivalents and Marketable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holds marketable securities that consist of highly liquid, investment grade debt securities. The Company's cash and marketable securities are held or issued by financial institutions that management believes are of high credit quality. Marketable securities are classified and accounted for as available-for-sale. Marketable securities with original maturities of 90 days or less are classified as cash equivalents. Marketable securities with original maturities over 90 days and remaining maturities of less than 12 months are classified as current. Marketable securities with remaining maturities of more than 12 months for which the Company has the intent and ability to hold the security for more than 12 months are classified as non-current. The Company’s marketable securities are carried at estimated fair value, which is derived from independent pricing sources based on quoted prices in active markets for similar securities. Unrealized gains and losses are reported in stockholders’ equity as accumulated other comprehensive income. The amortized cost of marketable securities is adjusted for amortization of premiums and accretion of discounts to maturity, which is included in interest income on the statements of operations and comprehensive loss.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the ability, if necessary, to liquidate any of its cash equivalents and marketable securities to meet its liquidity needs in the next 12 months. The Company does not generally intend to sell the investments and it is less likely that it will be required to sell the investments before recovery of their amortized cost bases, which may be at maturity.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reviews its portfolio of marketable securities, using both quantitative and qualitative factors, to determine if declines in fair value below amortized cost have resulted from a credit-related loss or other factors. If the decline in fair value is due to credit-related factors, the Company recognizes a loss in its statement of operations and comprehensive loss, whereas if the decline in fair value is not due to credit-related factors, the Company records the loss in accumulated other comprehensive income on its balance sheets.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excludes the applicable accrued interest from both the fair value and amortized cost basis of marketable securities for purposes of identifying and measuring an impairment. Accrued interest receivable on marketable securities is recorded within prepaid expenses and other current assets on the balance sheets. The Company’s accounting policy is to not measure an allowance for credit loss for accrued interest receivable and to write-off any uncollectible accrued interest receivable as a reversal of interest income in a timely manner, which is considered to be in the period in which it is determined the accrued interest will not be collected.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Restricted cash is comprised of cash that is restricted as to withdrawal or use under the terms of certain contractual agreements. In connection with the Company’s lease agreement (see Note 6), the Company is required to maintain a collateral account to secure a letter of credit issued to its landlord. The collateral account is classified as restricted cash on the Company’s balance sheets. As of </w:t>
      </w:r>
    </w:p>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December 31, 2025 and 2024, the remaining term of the leases is greater than one year and the related restricted cash is classified as non-current on the Company's balance sheet.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Deferred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revenue consists of amounts received prior to satisfying revenue recognition criteria (see Note 4).</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Accounts Receivable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recognizes a receivable when the Company has an unconditional right to payment, which is generally at the time of delivery of assets, or at the time services are rendered.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 allowance for expected credit losses over the life of the receivables is reserved for based on a combination of historical experience, aging analysis, current economic trends and information on specific accounts, with related amounts recorded as a reserve against revenue recognized. The reserve is re-evaluated on a regular basis and adjusted as needed. Once a receivable is deemed to be uncollectible, such balance is charged against the reserve. No allowance for credit losses was recorded during the years ended December 31, 2025 and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2025, the Company’s accounts receivable was entirely attributable to Novo. As of December 31, 2024, the Company’s accounts receivable was entirely attributed to Vertex. </w:t>
      </w:r>
    </w:p>
    <w:p>
      <w:pPr>
        <w:pStyle w:val="TextBody"/>
        <w:bidi w:val="0"/>
        <w:spacing w:before="360" w:after="283"/>
        <w:jc w:val="both"/>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and equipment is recorded at cost, subject to adjustments for impairments, less accumulated depreciation and amortization. The Company depreciates property and equipment using the straight-line method over the estimated useful lives of the respective assets, as follows:</w:t>
      </w:r>
    </w:p>
    <w:p>
      <w:pPr>
        <w:pStyle w:val="TextBody"/>
        <w:bidi w:val="0"/>
        <w:jc w:val="left"/>
        <w:rPr/>
      </w:pPr>
      <w:r>
        <w:rPr/>
        <w:t> </w:t>
      </w:r>
    </w:p>
    <w:tbl>
      <w:tblPr>
        <w:tblW w:w="6868" w:type="dxa"/>
        <w:jc w:val="left"/>
        <w:tblInd w:w="0" w:type="dxa"/>
        <w:tblLayout w:type="fixed"/>
        <w:tblCellMar>
          <w:top w:w="28" w:type="dxa"/>
          <w:left w:w="28" w:type="dxa"/>
          <w:bottom w:w="28" w:type="dxa"/>
          <w:right w:w="28" w:type="dxa"/>
        </w:tblCellMar>
      </w:tblPr>
      <w:tblGrid>
        <w:gridCol w:w="2161"/>
        <w:gridCol w:w="146"/>
        <w:gridCol w:w="456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years</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years</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years</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years</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Shorter of remaining lease term or estimated useful life</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Depreciation or amortization begins at the time the asset is placed in service. Maintenance and repairs that do not improve or extend the life of the respective asset are charged to expense as incurred. Upon disposal of assets, the cost and related accumulated depreciation or amortization is removed from the balance sheet and the resulting gain or loss is recognized within other income, net in the statements of operations and comprehensive loss.</w:t>
      </w:r>
    </w:p>
    <w:p>
      <w:pPr>
        <w:pStyle w:val="TextBody"/>
        <w:bidi w:val="0"/>
        <w:spacing w:before="360" w:after="283"/>
        <w:jc w:val="both"/>
        <w:rPr>
          <w:rFonts w:ascii="Times New Roman" w:hAnsi="Times New Roman"/>
          <w:sz w:val="20"/>
        </w:rPr>
      </w:pPr>
      <w:r>
        <w:rPr>
          <w:rFonts w:ascii="Times New Roman" w:hAnsi="Times New Roman"/>
          <w:b/>
          <w:i/>
          <w:color w:val="000000"/>
          <w:sz w:val="20"/>
        </w:rPr>
        <w:t>Impairment of Long-Lived Assets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evaluates its long-lived assets for impairment whenever events or changes in circumstances indicate that the carrying value of these assets may not be recoverable. Recoverability of these assets is measured by comparing the carrying amount of each asset to the undiscounted expected future cash flows the asset is expected to generate over its remaining life. An impairment loss would be recognized when the estimated undiscounted future cash flows expected to result from the use of the asset or asset group and its eventual disposition are less than its carrying amount. Impairment, if any, is measured as the amount by which the carrying amount of a long-lived asset or asset group exceeds its fair value. There were no impairments of the Company’s long-lived assets for the years ended December 31, 2025 and 2024. </w:t>
      </w:r>
    </w:p>
    <w:p>
      <w:pPr>
        <w:pStyle w:val="TextBody"/>
        <w:bidi w:val="0"/>
        <w:spacing w:before="360" w:after="283"/>
        <w:jc w:val="both"/>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accounts for its leases in accordance with FASB Accounting Standards Codification (“ASC”) 842, </w:t>
      </w:r>
      <w:r>
        <w:rPr>
          <w:rFonts w:ascii="Times New Roman" w:hAnsi="Times New Roman"/>
          <w:i/>
          <w:color w:val="000000"/>
          <w:sz w:val="20"/>
        </w:rPr>
        <w:t>Leases</w:t>
      </w:r>
      <w:r>
        <w:rPr>
          <w:rFonts w:ascii="Times New Roman" w:hAnsi="Times New Roman"/>
          <w:color w:val="000000"/>
          <w:sz w:val="20"/>
        </w:rPr>
        <w:t xml:space="preserve"> (“ASC 842”). The Company adopted ASC 842 on January 1, 2021, prior to entering into the lease agreement for its office and research and development space. At inception of a contract, the Company determines whether an arrangement is or contains a lease. For each lease, the Company determines the classification as either an operating lease or a financing lease. Lease recognition occurs at the lease commencement date and lease liability amounts are determined based on the present value of lease payments over the lease term. The lease term may include options to extend or terminate the lease only when it is reasonably certain that the Company will exercise that option. </w:t>
      </w:r>
    </w:p>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The Company uses its incremental borrowing rate based on the information available at lease commencement date in determining the present value of lease payments if the Company’s leases do not provide an implicit rate. The Company determines its incremental borrowing rate based on the rate of interest that the Company would have to pay to borrow on a collateralized basis over a similar term, an amount equal to the lease payments in a similar economic environment. Right-of-use assets represent the Company</w:t>
      </w:r>
      <w:r>
        <w:rPr>
          <w:rFonts w:ascii="Times New Roman" w:hAnsi="Times New Roman"/>
          <w:color w:val="231F20"/>
          <w:sz w:val="20"/>
        </w:rPr>
        <w:t>’</w:t>
      </w:r>
      <w:r>
        <w:rPr>
          <w:rFonts w:ascii="Times New Roman" w:hAnsi="Times New Roman"/>
          <w:color w:val="000000"/>
          <w:sz w:val="20"/>
        </w:rPr>
        <w:t>s right to use underlying assets for the lease term and operating lease liabilities represent the Company</w:t>
      </w:r>
      <w:r>
        <w:rPr>
          <w:rFonts w:ascii="Times New Roman" w:hAnsi="Times New Roman"/>
          <w:color w:val="231F20"/>
          <w:sz w:val="20"/>
        </w:rPr>
        <w:t>’</w:t>
      </w:r>
      <w:r>
        <w:rPr>
          <w:rFonts w:ascii="Times New Roman" w:hAnsi="Times New Roman"/>
          <w:color w:val="000000"/>
          <w:sz w:val="20"/>
        </w:rPr>
        <w:t xml:space="preserve">s obligation to make lease payments under the lease. Right-of-use assets also include any lease payments made prior to the commencement date and exclude lease incentives received.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elected to apply the practical expedient of combining lease and non-lease components for the real estate lease asset class. Fixed lease payments on operating leases are recognized as lease expense over the expected term of the lease on a straight-line basis. Variable lease expenses that are not considered fixed are recognized as incurred.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addition, the Company elected the short-term lease practical expedient that allows the lessee to not record a lease liability and right-of-use asset for all leases with a term of 12 months or less. See Note 6 for additional information on the </w:t>
      </w:r>
      <w:r>
        <w:rPr>
          <w:rFonts w:ascii="Times New Roman" w:hAnsi="Times New Roman"/>
          <w:color w:val="231F20"/>
          <w:sz w:val="20"/>
        </w:rPr>
        <w:t>Company’s</w:t>
      </w:r>
      <w:r>
        <w:rPr>
          <w:rFonts w:ascii="Times New Roman" w:hAnsi="Times New Roman"/>
          <w:color w:val="000000"/>
          <w:sz w:val="20"/>
        </w:rPr>
        <w:t xml:space="preserve"> leases.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accounts for revenue in accordance with ASC 606, “Revenue from Contracts with Customers” (“ASC 606”). Under ASC 606, the Company recognizes revenue when the customer obtains control of the promised goods or services at an amount that reflects the consideration the Company expects to receive in exchange for those goods or services. To determine revenue recognition for arrangements that the Company determines are within the scope of ASC 606, the Company performs the following four steps: (i) confirm it has a contract with a customer that creates enforceable rights and obligations; (ii) identify promised products or services to be transferred to a customer; (iii) determine the transaction price, or the amount it expects to receive, including an estimate of uncertain amounts subject to a constraint to ensure revenue is not recognized in an amount that would result in a significant reversal upon resolution of the uncertainty, is determinable and allocated to the performance obligations; and (iv) recognize revenue when or as performance obligations are satisfied.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Performance obligations promised in a contract are identified based on the goods and services that will be transferred to the customer that are both capable of being distinct and are distinct in the context of the contract. To the extent a contract includes multiple promised goods and services, the Company applies judgment to determine whether promised goods and services are both capable of being distinct and are distinct in the context of the contract. If these criteria are not met, the promised goods and services are accounted for as a combined performance obligation. For arrangements that include multiple performance obligations, the Company allocates the transaction price to the identified performance obligations based on the standalone selling price of each distinct performance obligation. In instances where standalone selling price is not directly observable, the Company develops assumptions that require judgment to determine the standalone selling price for each performance obligation identified in the contract using a cost plus margin approach, which is an estimation method used when standalone selling price is not directly observable. Key assumptions used within this estimation method may include full-time equivalent personnel effort and estimated external costs associated with the performance obligation.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transaction price is determined based on the consideration to which the Company will be entitled in exchange for transferring goods and services to the customer. To the extent the transaction price includes variable consideration,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management’s judgment, it is probable that a significant future reversal of cumulative revenue under the contract will not occur. Any estimates, including the effect of the constraint on variable consideration, are evaluated at each reporting period for any changes.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unless the transaction price is variable and meets the criteria to be allocated entirely to a performance obligation or to a distinct service that forms part of a single performance obligation.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satisfies performance obligations either over time or at a point in time. Revenue is recognized over time if either (i) the customer simultaneously receives and consumes the benefits provided by the Company's performance, (ii) the Company's performance creates or enhances an asset that the customer controls as the asset is created or enhanced, or (iii) the Company's performance does not create an asset with an alternative use to the Company and the Company has an enforceable right to payment for performance completed to date. If the Company does not satisfy a performance obligation over time, the related performance obligation is satisfied at a point in time by transferring the control of a promised good or service to a customer.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revenues are primarily derived through its license and research and development service arrangements. Payments to the Company under these arrangements typically include one or more of the following: one-time, non-refundable upfront payment, research and development service funding, milestone and other contingent payments to the Company for the achievement of defined collaboration objectives and certain collaboration, research and development and commercial milestones, as well as royalties based on net sales of approved drugs.</w:t>
      </w:r>
    </w:p>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Consideration received prior to revenue recognition is recorded as deferred revenue in the balance sheets. Amounts expected to be recognized as revenue within the 12 months following the balance sheet date are classified as current portion of deferred revenue in the accompanying balance sheets. Amounts not expected to be recognized as revenue within the 12 months following the balance sheet date are classified as deferred revenue, non-current. Contract assets represent research and development services which have been performed but have not yet been billed and are reduced when they are subsequently billed. Such contract assets include accounts receivable when the Company’s right to consideration is unconditional. For its current contracts, the Company recognizes revenue as the amount of the transaction price that is allocated to the respective performance obligation when (or as) each performance obligation is satisfied at a point in time or over time, and, if over time, revenue recognized is based on the use of an input method.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When no remaining performance obligations are required of the Company, or following the completion of the performance obligation period, such amounts are recognized as revenue upon transfer of control of the goods or services to the customer.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terms of the Company’s collaborative arrangements include one or more of the following</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w:t>
      </w:r>
    </w:p>
    <w:p>
      <w:pPr>
        <w:pStyle w:val="TextBody"/>
        <w:bidi w:val="0"/>
        <w:spacing w:before="120" w:after="283"/>
        <w:jc w:val="both"/>
        <w:rPr/>
      </w:pPr>
      <w:r>
        <w:rPr>
          <w:rFonts w:ascii="Times New Roman" w:hAnsi="Times New Roman"/>
          <w:i/>
          <w:color w:val="000000"/>
          <w:sz w:val="20"/>
        </w:rPr>
        <w:t xml:space="preserve">Licenses of intellectual property, or IP - </w:t>
      </w:r>
      <w:r>
        <w:rPr>
          <w:rFonts w:ascii="Times New Roman" w:hAnsi="Times New Roman"/>
          <w:color w:val="000000"/>
          <w:sz w:val="20"/>
        </w:rPr>
        <w:t>If the license to the Company’s IP is determined to be distinct from the other performance obligations identified in the arrangement, the Company recognizes revenue from consideration allocated to the license when the license is transferred to the customer and the customer can use and benefit from the licenses. For a license that is determined not to be distinct, it is combined with other promises and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The Company generally recognizes revenue using the cost incurred to date as compared to the total estimated cost of each performance obligation. The impact on revenue of changes in total estimated costs are recognized on a cumulative basis in the period that the change occurs. If estimates of the total cost change, or if contract amendments change the scope of the performance obligation, the required adjustments to revenue could be material.</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(ii)</w:t>
      </w:r>
    </w:p>
    <w:p>
      <w:pPr>
        <w:pStyle w:val="TextBody"/>
        <w:bidi w:val="0"/>
        <w:spacing w:before="120" w:after="283"/>
        <w:jc w:val="both"/>
        <w:rPr/>
      </w:pPr>
      <w:r>
        <w:rPr>
          <w:rFonts w:ascii="Times New Roman" w:hAnsi="Times New Roman"/>
          <w:i/>
          <w:color w:val="000000"/>
          <w:sz w:val="20"/>
        </w:rPr>
        <w:t>Customer options</w:t>
      </w:r>
      <w:r>
        <w:rPr>
          <w:color w:val="000000"/>
        </w:rPr>
        <w:t xml:space="preserve"> </w:t>
      </w:r>
      <w:r>
        <w:rPr>
          <w:rFonts w:ascii="Times New Roman" w:hAnsi="Times New Roman"/>
          <w:color w:val="000000"/>
          <w:sz w:val="20"/>
        </w:rPr>
        <w:t>- The Company evaluates the customer options for material rights or options to acquire additional goods or services at no incremental consideration or at a discount. If the customer options are determined to represent a material right, the material right is recognized as a separate performance obligation at the outset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the option is exercised and performance obligations are satisfied. If an option is not exercised before the option right expires, the Company will accelerate and recognize all remaining revenue related to the material right performance obligation.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(iii)</w:t>
      </w:r>
    </w:p>
    <w:p>
      <w:pPr>
        <w:pStyle w:val="TextBody"/>
        <w:bidi w:val="0"/>
        <w:spacing w:before="120" w:after="283"/>
        <w:jc w:val="both"/>
        <w:rPr/>
      </w:pPr>
      <w:r>
        <w:rPr>
          <w:rFonts w:ascii="Times New Roman" w:hAnsi="Times New Roman"/>
          <w:i/>
          <w:color w:val="000000"/>
          <w:sz w:val="20"/>
        </w:rPr>
        <w:t xml:space="preserve">Research and development services </w:t>
      </w:r>
      <w:r>
        <w:rPr>
          <w:rFonts w:ascii="Times New Roman" w:hAnsi="Times New Roman"/>
          <w:color w:val="000000"/>
          <w:sz w:val="20"/>
        </w:rPr>
        <w:t>- The promises under the Company's collaboration agreement include research and development services to be performed by the Company for or on behalf of the customer. Payments or reimbursements resulting from the Company's research and development efforts are recognized as the services are performed and presented on a gross basis because the Company is the principal for such efforts. Reimbursements are recognized in revenue in the Company’s statements of operations and comprehensive loss. Expenses incurred as part of the Company’s efforts to perform the research and development services are recognized in research and development expense in the Company’s statements of operations and comprehensive loss.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(iv)</w:t>
      </w:r>
    </w:p>
    <w:p>
      <w:pPr>
        <w:pStyle w:val="TextBody"/>
        <w:bidi w:val="0"/>
        <w:spacing w:before="120" w:after="283"/>
        <w:jc w:val="both"/>
        <w:rPr/>
      </w:pPr>
      <w:r>
        <w:rPr>
          <w:rFonts w:ascii="Times New Roman" w:hAnsi="Times New Roman"/>
          <w:i/>
          <w:color w:val="000000"/>
          <w:sz w:val="20"/>
        </w:rPr>
        <w:t xml:space="preserve">Manufacturing services </w:t>
      </w:r>
      <w:r>
        <w:rPr>
          <w:rFonts w:ascii="Times New Roman" w:hAnsi="Times New Roman"/>
          <w:color w:val="000000"/>
          <w:sz w:val="20"/>
        </w:rPr>
        <w:t>- The promises under the Company's collaboration agreement include manufacturing services to be provided by the Company. Payments or reimbursements resulting from the Company's manufacturing services are recognized as the services are performed and presented on a gross basis because the Company is the principal for such efforts. Reimbursements are recognized in revenue in the Company’s statements of operations and comprehensive loss. Expenses incurred to perform the manufacturing services are recognized in research and development expense in the Company’s statements of operations and comprehensive loss.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(v)</w:t>
      </w:r>
    </w:p>
    <w:p>
      <w:pPr>
        <w:pStyle w:val="TextBody"/>
        <w:bidi w:val="0"/>
        <w:spacing w:before="120" w:after="283"/>
        <w:jc w:val="both"/>
        <w:rPr/>
      </w:pPr>
      <w:r>
        <w:rPr>
          <w:rFonts w:ascii="Times New Roman" w:hAnsi="Times New Roman"/>
          <w:i/>
          <w:color w:val="000000"/>
          <w:sz w:val="20"/>
        </w:rPr>
        <w:t xml:space="preserve">Milestone payments </w:t>
      </w:r>
      <w:r>
        <w:rPr>
          <w:rFonts w:ascii="Times New Roman" w:hAnsi="Times New Roman"/>
          <w:color w:val="000000"/>
          <w:sz w:val="20"/>
        </w:rPr>
        <w:t xml:space="preserve">- At the inception of each arrangement that includes development or regulatory milestone payments, the Company evaluates the probability of reaching the milestones and estimates the amount to be included in the transaction price using the most likely amount method. If it is probable that a significant revenue reversal would not occur in the future, the associated milestone value is included in the transaction price. Milestone payments that are not within the Company’s control or the licensee’s, such as regulatory approvals, are not considered probable of being achieved until those approvals are received, and therefore, consideration included in the transaction price is constrained. The Company applied the variable consideration allocation exception under ASC 606 whereby variable milestone payments are not estimated and included in the transaction price at inception.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w:t>
      </w:r>
    </w:p>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necessary, adjusts its estimate of the overall transaction price. Any such adjustments are recorded on a cumulative catch-up basis, which would affect revenues and earnings in the period of adjustment.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(vi)</w:t>
      </w:r>
    </w:p>
    <w:p>
      <w:pPr>
        <w:pStyle w:val="TextBody"/>
        <w:bidi w:val="0"/>
        <w:spacing w:before="120" w:after="283"/>
        <w:jc w:val="both"/>
        <w:rPr>
          <w:rFonts w:ascii="Times New Roman" w:hAnsi="Times New Roman"/>
          <w:sz w:val="20"/>
        </w:rPr>
      </w:pPr>
      <w:r>
        <w:rPr>
          <w:rFonts w:ascii="Times New Roman" w:hAnsi="Times New Roman"/>
          <w:i/>
          <w:color w:val="000000"/>
          <w:sz w:val="20"/>
        </w:rPr>
        <w:t>Commercial milestone payments and royalties</w:t>
      </w:r>
      <w:r>
        <w:rPr>
          <w:rFonts w:ascii="Times New Roman" w:hAnsi="Times New Roman"/>
          <w:color w:val="000000"/>
          <w:sz w:val="20"/>
        </w:rPr>
        <w:t xml:space="preserve"> - For arrangements that include sales-based royalties, including milestone payments based on levels of sales, if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w:t>
      </w:r>
    </w:p>
    <w:p>
      <w:pPr>
        <w:pStyle w:val="TextBody"/>
        <w:bidi w:val="0"/>
        <w:spacing w:before="360" w:after="283"/>
        <w:jc w:val="left"/>
        <w:rPr>
          <w:rFonts w:ascii="Times New Roman" w:hAnsi="Times New Roman"/>
          <w:sz w:val="20"/>
        </w:rPr>
      </w:pPr>
      <w:r>
        <w:rPr>
          <w:rFonts w:ascii="Times New Roman" w:hAnsi="Times New Roman"/>
          <w:b/>
          <w:i/>
          <w:color w:val="000000"/>
          <w:sz w:val="20"/>
        </w:rPr>
        <w:t>Sale of Non-Financial Assets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Sale of non-financial assets that are outside the scope of the </w:t>
      </w:r>
      <w:r>
        <w:rPr>
          <w:rFonts w:ascii="Times New Roman" w:hAnsi="Times New Roman"/>
          <w:color w:val="231F20"/>
          <w:sz w:val="20"/>
        </w:rPr>
        <w:t>Company’s</w:t>
      </w:r>
      <w:r>
        <w:rPr>
          <w:rFonts w:ascii="Times New Roman" w:hAnsi="Times New Roman"/>
          <w:color w:val="000000"/>
          <w:sz w:val="20"/>
        </w:rPr>
        <w:t xml:space="preserve"> ordinary activities are accounted for under ASC 610-20, </w:t>
      </w:r>
      <w:r>
        <w:rPr>
          <w:rFonts w:ascii="Times New Roman" w:hAnsi="Times New Roman"/>
          <w:i/>
          <w:color w:val="000000"/>
          <w:sz w:val="20"/>
        </w:rPr>
        <w:t>Other Income - Gains and Losses from the Derecognition of Non-financial Assets</w:t>
      </w:r>
      <w:r>
        <w:rPr>
          <w:rFonts w:ascii="Times New Roman" w:hAnsi="Times New Roman"/>
          <w:color w:val="000000"/>
          <w:sz w:val="20"/>
        </w:rPr>
        <w:t xml:space="preserve"> (“ASC 610-20”). Pursuant to ASC 610-20, the Company applies the guidance in ASC 606, </w:t>
      </w:r>
      <w:r>
        <w:rPr>
          <w:rFonts w:ascii="Times New Roman" w:hAnsi="Times New Roman"/>
          <w:i/>
          <w:color w:val="000000"/>
          <w:sz w:val="20"/>
        </w:rPr>
        <w:t xml:space="preserve">Revenue from Contracts with Customers </w:t>
      </w:r>
      <w:r>
        <w:rPr>
          <w:rFonts w:ascii="Times New Roman" w:hAnsi="Times New Roman"/>
          <w:color w:val="000000"/>
          <w:sz w:val="20"/>
        </w:rPr>
        <w:t>(</w:t>
      </w:r>
      <w:r>
        <w:rPr>
          <w:rFonts w:ascii="Times New Roman" w:hAnsi="Times New Roman"/>
          <w:color w:val="231F20"/>
          <w:sz w:val="20"/>
        </w:rPr>
        <w:t>“</w:t>
      </w:r>
      <w:r>
        <w:rPr>
          <w:rFonts w:ascii="Times New Roman" w:hAnsi="Times New Roman"/>
          <w:color w:val="000000"/>
          <w:sz w:val="20"/>
        </w:rPr>
        <w:t>ASC 606</w:t>
      </w:r>
      <w:r>
        <w:rPr>
          <w:rFonts w:ascii="Times New Roman" w:hAnsi="Times New Roman"/>
          <w:color w:val="231F20"/>
          <w:sz w:val="20"/>
        </w:rPr>
        <w:t>”</w:t>
      </w:r>
      <w:r>
        <w:rPr>
          <w:rFonts w:ascii="Times New Roman" w:hAnsi="Times New Roman"/>
          <w:color w:val="000000"/>
          <w:sz w:val="20"/>
        </w:rPr>
        <w:t>)</w:t>
      </w:r>
      <w:r>
        <w:rPr>
          <w:rFonts w:ascii="Times New Roman" w:hAnsi="Times New Roman"/>
          <w:i/>
          <w:color w:val="000000"/>
          <w:sz w:val="20"/>
        </w:rPr>
        <w:t>,</w:t>
      </w:r>
      <w:r>
        <w:rPr>
          <w:rFonts w:ascii="Times New Roman" w:hAnsi="Times New Roman"/>
          <w:color w:val="000000"/>
          <w:sz w:val="20"/>
        </w:rPr>
        <w:t xml:space="preserve"> to determine if a contract exists, identify the distinct non-financial assets, and determine when control transfers and, therefore, when to derecognize the non-financial asset. Additionally, the Company applies the measurement principles of ASC 606 to determine the amount of consideration, if any, to include in the calculation of the gain or loss for the non-financial asset.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costs are expensed as incurred. Research and development expenses consist primarily of employee-related costs, including salaries, benefits and stock-based compensation for employees engaged in research and development activities, costs related to research activities, preclinical studies and clinical trials, contract manufacturing for the production of clinical and preclinical materials, information technology-related costs, allocated overhead costs including facility-related expenses, consulting fees, costs related to laboratory operations and fees paid to other entities that conduct certain research and development activities on the Company’s behalf. Payments made prior to the receipt of goods and services to be used in research and development are deferred and recognized as expense in the period in which the related goods are received or services are rendered.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entered into agreements with outsourced contract manufacturing and development and clinical research vendors. The Company estimates accrued research and development expenses as of each balance sheet date based on facts and circumstances known at that time. The Company periodically confirms the accuracy of its estimates with internal management personnel and external service providers, and makes adjustments, if necessary. Research and development accruals are estimated based on the level of services performed, progress of the studies, including the phase or completion of events, and contracted costs. The estimated costs of research and development services provided, but not yet invoiced, are included in accrued expenses on the balance sheets. If the actual timing of the performance of services or the level of effort varies from the original estimates, the Company will adjust the accrual accordingly. Payments made under these arrangements in advance of the performance of the related services are recorded as prepaid expenses and other current assets until the services are rendered.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Patent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to secure and maintain patents covering the Company’s technology and product candidates are expensed as incurred and are classified as general and administrative expenses in the statements of operations and comprehensive loss.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Level 1—Inputs are unadjusted, quoted prices in active markets for identical assets or liabilities at the measurement date;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Level 3—Unobservable inputs that are significant to the measurement of the fair value of the assets or liabilities that are supported by little or no market data.</w:t>
      </w:r>
    </w:p>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defines fair value as the price that would be received from selling an asset or paid to transfer a liability in an orderly transaction between market participants at the measurement date. When determining the fair value measurements for assets and liabilities, which are required to be recorded at fair value, the Company considers the principal or most advantageous market in which to transact and the market-based risk. The carrying values of the Company’s cash and cash equivalents, restricted cash, accounts receivable, accounts payable and accrued expenses, approximate their fair values due to their relatively short maturities. </w:t>
      </w:r>
    </w:p>
    <w:p>
      <w:pPr>
        <w:pStyle w:val="TextBody"/>
        <w:bidi w:val="0"/>
        <w:spacing w:before="36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Stock-based compensation expense is recognized based on the grant-date fair value of the awards. The fair value of stock options and employee stock purchase plan ("ESPP") is determined using the Black-Scholes option pricing model on the date of grant. The fair value of restricted stock awards is determined using the estimated fair value of the Company’s common stock on the date of grant.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Prior to the IPO, the Company utilized estimates and assumptions in determining the fair value of its common stock, including stock-based awards. The Company has granted stock options at exercise prices that represented the fair value of its common stock on the specific grant dates. The Company utilized various valuation methodologies in accordance with the framework of the American Institute of Certified Public Accountants Technical Practice Aid, Valuation of Privately Held Company Equity Securities Issued as Compensation, to estimate the fair value of its common stock. Each valuation methodology includes estimates and assumptions that require the Company’s judgment. These estimates and assumptions include a number of objective and subjective factors, including external market conditions, the prices at which the Company sold shares of convertible preferred stock, the superior rights and preferences of the convertible preferred stock senior to the Company’s common stock at the time, and a probability analysis of various liquidity events, such as a public offering or sale of the Company, under differing scenarios.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stock-based awards with service conditions only, the Company recognizes stock-based compensation expense on a straight-line basis over the requisite service period, which is generally the vesting term of the award of four years. For stock-based awards with vesting criteria subject to the achievement of performance-based conditions, in addition to service conditions, the Company recognizes stock-based compensation expense on an accelerated basis over the vesting period when achievement of the performance criteria becomes probable.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Stock-based compensation expense is recorded within research and development and general and administrative expenses in the accompanying statements of operations and comprehensive loss based on the function to which the related services are provided. The Company recognizes stock-based compensation expense for the portion of awards that have vested. Forfeitures are accounted for as they occur. </w:t>
      </w:r>
    </w:p>
    <w:p>
      <w:pPr>
        <w:pStyle w:val="TextBody"/>
        <w:bidi w:val="0"/>
        <w:spacing w:before="360" w:after="120"/>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utilizes the asset and liability approach to account for income taxes. Under this method, deferred income tax assets and liabilities are recorded based on the estimated future tax effects of differences between the financial statement and income tax basis of existing assets and liabilities. Deferred tax assets and liabilities are determined based upon the differences between the financial statement carrying amounts and the tax bases of existing assets and liabilities and for loss and credit carryforwards, using enacted tax rates expected to be in effect in the year in which the differences are expected to reverse. Valuation allowances are provided, if based upon the weight of available evidence, it is more likely than not that some or all of the deferred tax assets will not be realized.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accounts for uncertain tax positions recognized in the financial statements by prescribing a more-likely-than-not threshold for financial statement recognition and measurement of a tax position taken or expected to be taken in a tax return. The provision for income taxes includes the effects of any resulting tax reserves, or unrecognized tax benefits, that are considered appropriate as well as the related interest and penalties.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Comprehensive loss is defined as a change in equity of a business enterprise during a period resulting from transactions from non-owner sources. The Company’s other comprehensive income (loss) is comprised solely of unrealized gains or losses on marketable securities. The Company has not recorded any reclassifications from other comprehensive gains or losses to net loss during the years ended December 31, 2025 and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net loss per share is computed by dividing the net loss by the weighted-average number of common shares outstanding during the period, without consideration of potential dilutive securities. Vested restricted stock is treated as outstanding for accounting purposes. Unvested restricted stock is not considered to be outstanding for purposes of the calculation of basic net loss per share. Diluted net loss per share is computed by dividing the net loss by the sum of the weighted-average number of common shares outstanding during the period plus the potential dilutive effects of potential dilutive shares outstanding during the period. Potential dilutive securities include stock options, unvested restricted stock, and ESPP shares. The dilutive effect of stock options, unvested restricted stock, and ESPP shares is computed using the treasury stock method. For all periods presented in a net loss position, diluted net loss per share is the same as basic net loss per share since the effect of including potential dilutive securities is anti-dilutive.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40" w:after="283"/>
        <w:jc w:val="both"/>
        <w:rPr>
          <w:rFonts w:ascii="Times New Roman" w:hAnsi="Times New Roman"/>
          <w:sz w:val="20"/>
        </w:rPr>
      </w:pPr>
      <w:r>
        <w:rPr>
          <w:rFonts w:ascii="Times New Roman" w:hAnsi="Times New Roman"/>
          <w:b/>
          <w:color w:val="000000"/>
          <w:sz w:val="20"/>
        </w:rPr>
        <w:t>Recently Adopted Accounting Pronouncements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September 2025, the FASB issued ASU No. 2025-07, </w:t>
      </w:r>
      <w:r>
        <w:rPr>
          <w:rFonts w:ascii="Times New Roman" w:hAnsi="Times New Roman"/>
          <w:i/>
          <w:color w:val="000000"/>
          <w:sz w:val="20"/>
        </w:rPr>
        <w:t>Derivatives and Hedging (Topic 815) and Revenue from Contracts with Customers (Topic 606)</w:t>
      </w:r>
      <w:r>
        <w:rPr>
          <w:rFonts w:ascii="Times New Roman" w:hAnsi="Times New Roman"/>
          <w:color w:val="000000"/>
          <w:sz w:val="20"/>
        </w:rPr>
        <w:t>. The guidance refines the scope of Topic 815 by clarifying which contracts are subject to derivative accounting and expand the scope exception for certain contracts not traded on an exchange to include contracts for which settlement is based on operations or activities specific to one of the parties to the contract. In addition, ASU 2025-07 is expected to reduce diversity in the accounting for share-based non-cash consideration from a customer for the transfer of goods or services, as well as provide investors with more comparable information and reduce accounting complexity and related reporting costs. Adoption of the amendment allows for either the prospective or modified retrospective application and is effective for annual periods beginning after December 15, 2026, with early adoption permitted. The Company early adopted this standard using the prospective method for the derivative scope refinement with the effective date of January 1, 2025. Prior to adoption, the Company did not have contracts that include are subject to derivative accounting and the adoption of the ASU did not have a material impact on its financial statements.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December 2023, the FASB issued ASU No. 2023-09, </w:t>
      </w:r>
      <w:r>
        <w:rPr>
          <w:rFonts w:ascii="Times New Roman" w:hAnsi="Times New Roman"/>
          <w:i/>
          <w:color w:val="000000"/>
          <w:sz w:val="20"/>
        </w:rPr>
        <w:t>Income Taxes (Topic 740): Improvements to Income Tax Disclosures</w:t>
      </w:r>
      <w:r>
        <w:rPr>
          <w:rFonts w:ascii="Times New Roman" w:hAnsi="Times New Roman"/>
          <w:color w:val="000000"/>
          <w:sz w:val="20"/>
        </w:rPr>
        <w:t xml:space="preserve">, which enhances the transparency and decision usefulness of income tax disclosures. The standard is intended to improve income tax disclosures primarily related to the rate reconciliation and income taxes paid information. This update also includes certain other amendments to improve the effectiveness of income tax disclosures. The ASU is effective for fiscal years beginning after December 15, 2024, on a prospective basis. Early adoption and retrospective reporting are permitted. The company follows the provisions set forth in ASU No. 2023-09 on a prospective basis.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Accounting Pronouncements Not Yet Adopted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new accounting pronouncements are issued by the FASB, under its ASC or other standard setting bodies, and adopted by the Company as of the specified date.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July 2025, the FASB issued ASU No. 2025-05, </w:t>
      </w:r>
      <w:r>
        <w:rPr>
          <w:rFonts w:ascii="Times New Roman" w:hAnsi="Times New Roman"/>
          <w:i/>
          <w:color w:val="000000"/>
          <w:sz w:val="20"/>
        </w:rPr>
        <w:t>Financial Instruments—Credit Losses (Topic 326): Measurement of Credit Losses for Accounts Receivable and Contract Assets</w:t>
      </w:r>
      <w:r>
        <w:rPr>
          <w:rFonts w:ascii="Times New Roman" w:hAnsi="Times New Roman"/>
          <w:color w:val="000000"/>
          <w:sz w:val="20"/>
        </w:rPr>
        <w:t>, which provides a practical expedient that assumes that current conditions as of the balance sheet date do not change for the remaining life of the asset in developing reasonable and supportable forecasts during the application of the current expected credit loss model for current accounts receivable and current contract assets arising from transactions under ASC 606. ASU 2025-05 is effective for fiscal years beginning after December 15, 2025 and interim reporting periods within those annual reporting periods. Early adoption is permitted. The Company is currently evaluating the impact of adopting ASU 2025-05.</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which requires the Company to disclose more detailed information about the types of expenses (including employee compensation, depreciation, and amortization) included in each relevant income statement expense caption. The ASU is effective for fiscal years beginning after December 15, 2026, and interim reporting periods beginning after December 15, 2027. Early adoption is permitted. The Company is currently evaluating the impact that this update will have on its disclosures.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Emerging Growth Company Status and Smaller Reporting Company Status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is also a smaller reporting company as defined in the Securities Exchange Act of 1934, as amended (the “Exchange Act”). The Company may continue to be a smaller reporting company even after it is no longer an emerging growth company. The Company may take advantage of certain of the scaled disclosures available to smaller reporting companies and will be able to take advantage of these scaled disclosures for so long as its voting and non-voting common stock held by non-affiliates is less than $250.0 million measured on the last business day of its second fiscal quarter, or its annual revenue is less than $100.0 million during the most recently completed fiscal year and its voting and non-voting common stock held by non-affiliates is less than $700.0 million measured on the last business day of its second fiscal quarter.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Balance Sheet Components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consist of the following (in thousands):</w:t>
      </w:r>
    </w:p>
    <w:p>
      <w:pPr>
        <w:pStyle w:val="TextBody"/>
        <w:bidi w:val="0"/>
        <w:jc w:val="both"/>
        <w:rPr/>
      </w:pPr>
      <w:r>
        <w:rPr/>
        <w:t> </w:t>
      </w:r>
    </w:p>
    <w:tbl>
      <w:tblPr>
        <w:tblW w:w="6044" w:type="dxa"/>
        <w:jc w:val="left"/>
        <w:tblInd w:w="0" w:type="dxa"/>
        <w:tblLayout w:type="fixed"/>
        <w:tblCellMar>
          <w:top w:w="28" w:type="dxa"/>
          <w:left w:w="28" w:type="dxa"/>
          <w:bottom w:w="28" w:type="dxa"/>
          <w:right w:w="28" w:type="dxa"/>
        </w:tblCellMar>
      </w:tblPr>
      <w:tblGrid>
        <w:gridCol w:w="3651"/>
        <w:gridCol w:w="146"/>
        <w:gridCol w:w="211"/>
        <w:gridCol w:w="571"/>
        <w:gridCol w:w="146"/>
        <w:gridCol w:w="146"/>
        <w:gridCol w:w="211"/>
        <w:gridCol w:w="571"/>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bonus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net consist of the following (in thousands):</w:t>
      </w:r>
    </w:p>
    <w:p>
      <w:pPr>
        <w:pStyle w:val="TextBody"/>
        <w:bidi w:val="0"/>
        <w:jc w:val="both"/>
        <w:rPr/>
      </w:pPr>
      <w:r>
        <w:rPr/>
        <w:t> </w:t>
      </w:r>
    </w:p>
    <w:tbl>
      <w:tblPr>
        <w:tblW w:w="6709" w:type="dxa"/>
        <w:jc w:val="left"/>
        <w:tblInd w:w="0" w:type="dxa"/>
        <w:tblLayout w:type="fixed"/>
        <w:tblCellMar>
          <w:top w:w="28" w:type="dxa"/>
          <w:left w:w="28" w:type="dxa"/>
          <w:bottom w:w="28" w:type="dxa"/>
          <w:right w:w="28" w:type="dxa"/>
        </w:tblCellMar>
      </w:tblPr>
      <w:tblGrid>
        <w:gridCol w:w="4156"/>
        <w:gridCol w:w="146"/>
        <w:gridCol w:w="211"/>
        <w:gridCol w:w="631"/>
        <w:gridCol w:w="166"/>
        <w:gridCol w:w="146"/>
        <w:gridCol w:w="211"/>
        <w:gridCol w:w="631"/>
        <w:gridCol w:w="4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fixtures, and office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Depreciation and amortization expense was $1.6 million and $1.4 million for the years ended December 31, 2025 and 2024,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Accrued Expenses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 and other current liabilities consist of the following (in thousands):</w:t>
      </w:r>
    </w:p>
    <w:p>
      <w:pPr>
        <w:pStyle w:val="TextBody"/>
        <w:bidi w:val="0"/>
        <w:jc w:val="both"/>
        <w:rPr/>
      </w:pPr>
      <w:r>
        <w:rPr/>
        <w:t> </w:t>
      </w:r>
    </w:p>
    <w:tbl>
      <w:tblPr>
        <w:tblW w:w="6524" w:type="dxa"/>
        <w:jc w:val="left"/>
        <w:tblInd w:w="0" w:type="dxa"/>
        <w:tblLayout w:type="fixed"/>
        <w:tblCellMar>
          <w:top w:w="28" w:type="dxa"/>
          <w:left w:w="28" w:type="dxa"/>
          <w:bottom w:w="28" w:type="dxa"/>
          <w:right w:w="28" w:type="dxa"/>
        </w:tblCellMar>
      </w:tblPr>
      <w:tblGrid>
        <w:gridCol w:w="4026"/>
        <w:gridCol w:w="146"/>
        <w:gridCol w:w="211"/>
        <w:gridCol w:w="676"/>
        <w:gridCol w:w="146"/>
        <w:gridCol w:w="146"/>
        <w:gridCol w:w="211"/>
        <w:gridCol w:w="571"/>
        <w:gridCol w:w="391"/>
      </w:tblGrid>
      <w:tr>
        <w:trPr/>
        <w:tc>
          <w:tcPr>
            <w:tcW w:w="4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Collaboration and Research Service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year ended December 31, 2025, the Company's revenue is comprised solely of arrangements with Novo and Vertex. For the year ended December 31, 2024, the Company's revenue was solely comprised of the arrangement with Vertex.</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Novo Collaboration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May 13, 2025, the Company entered into a Collaboration and License Agreement with Novo (the “Novo Collaboration Agreement”). Under the Novo Collaboration Agreement, the Company and Novo are exclusively collaborating to leverage the Company’s proprietary Native Complex Platform to discover, develop and commercialize multiple potential oral small molecule therapies for metabolic-related diseases based on certain specified molecular targets.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Upon effectiveness of the Novo Collaboration Agreement on July 1, 2025, the Company and Novo have commenced four simultaneous research and development programs (each an “R&amp;D Program”), each pursuing one or more Collaboration Targets (as defined in the Novo Collaboration Agreement) from discovery through development candidate selection. Subject to certain limitations, Novo also has a right to modify the research plan with the option to commence additional R&amp;D Programs. Novo will reimburse the Company for 100% of the fully burdened costs arising from all research and development activities undertaken by the Company under the Novo Collaboration Agreement. After development candidate selection, beginning with investigational new drug-enabling activities, Novo will be responsible for all further global development and commercialization for each product candidate at its sole cost and expense unless the profit share option described below is exercised. Novo is also responsible for all commercialization costs subject to the Company’s profit share option for up to one program under the Novo Collaboration Agreement. Pursuant to the terms of the Novo Collaboration Agreement, the Company will provide Novo with exclusive licenses to enable Novo to develop and commercialize products directed at the Collaboration Targets. The Company retains all other rights to its Native Complex Platform and all of the Company’s other research and development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Upon effectiveness of the Novo Collaboration Agreement, the Company received a one-time, non-refundable upfront payment of $195.0 million in July 2025, which was recorded as deferred revenue in its balance sheet. The Company is also eligible to receive up to approximately $498.0 million in research, development, regulatory, and commercial milestone payments for each R&amp;D Program. In addition, the Company is entitled to escalating, tiered royalties ranging from mid to high single-digits based on global product sales on a country-by-country and product-by-product basis with respect to a R&amp;D Program until the later of ten years after the date of first commercial sale of the first product in such R&amp;D Program in such country, expiration of specified patent rights covering such product in such country or the expiration of specified regulatory exclusivity for the first product in such R&amp;D Program in such country.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Novo Collaboration Agreement, the Company has a one-time option to share in the global development costs and operating profits or losses (in lieu of milestones and royalties) with respect to one licensed product (the "Profit Share Option"), subject to certain terms, conditions and limitations. In the event that the Company chooses to exercise the Profit Share Option, it will be required to repay Novo all previously reimbursed developmental costs pertaining to that program at a predetermined multiple and reimburse Novo for a portion of the continued R&amp;D costs incurred under the selected licensed product and will share in the profits resulting from the commercialization of the licensed product.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Unless earlier terminated, the term of the Novo Collaboration Agreement continues until expiration of the last royalty term for the applicable product in the applicable country. The Novo Collaboration Agreement is subject to customary termination provisions, including termination by a party for the other party’s uncured, material breach. The Novo Collaboration Agreement also includes customary representations and warranties, covenants and indemnification obligations.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concluded the Agreement is not within the scope of Accounting Standards Codification 808, </w:t>
      </w:r>
      <w:r>
        <w:rPr>
          <w:rFonts w:ascii="Times New Roman" w:hAnsi="Times New Roman"/>
          <w:i/>
          <w:color w:val="000000"/>
          <w:sz w:val="20"/>
        </w:rPr>
        <w:t xml:space="preserve">Collaborative Arrangements </w:t>
      </w:r>
      <w:r>
        <w:rPr>
          <w:rFonts w:ascii="Times New Roman" w:hAnsi="Times New Roman"/>
          <w:color w:val="000000"/>
          <w:sz w:val="20"/>
        </w:rPr>
        <w:t xml:space="preserve">as the Company does not share equally in the exposure to significant risk. Accordingly, the Company assessed this arrangement in accordance with ASC 606 and concluded that the contract counterparty, Novo, is a customer.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commencement, the Company identified the several performance obligations within the Novo Collaboration Agreement, including research and development services on research targets, option rights held by Novo, license to use the Company’s intellectual property to conduct research and development activities, and participation on the joint steering committee (“JSC”). At inception of the Novo Collaboration Agreement, the Company identified the following performance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Four combined performance obligations comprised of the license, related research services, and participation of the JSC for the four R&amp;D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 services related to one of the R&amp;D Programs;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material R&amp;D Program modification right held by Novo.</w:t>
      </w:r>
    </w:p>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concluded that the license granted at contract inception is not distinct from the research services as the research services significantly modify the intellectual property underlying the license. As a result, for each R&amp;D Program, the license has been combined with the research services and JSC participation into a single performance obligation, which is the combined performance obligation comprised of the license, related research services, and JSC participation.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assessing whether the various options under the Novo Collaboration Agreement represent material rights, the Company considered the additional consideration the Company would be entitled to upon option exercise and the standalone selling price of the underlying goods and services. For the material right identified above, the Company concluded the option provided Novo with a discount that it otherwise would not have received.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recognizes revenue related to the combined license and research services performance obligation and the manufacturing performance obligation over time using the input method. Under the input method, the extent of progress towards completion is measured based on the ratio of actual cost incurred to date to the total estimated cost at completion of the performance obligations, which the Company believes best measures its progress towards satisfying the performance obligations. A cost-based input method of revenue recognition requires management to make estimates of cost to complete the performance obligation. Judgment is required to evaluate assumptions related to cost estimates. The estimated standalone selling price for the material right was determined based on the estimated discount provided to Novo and the probability that Novo would exercise the option.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presents revenue recognized, unrecognized transaction price, and estimated revenue expected to be recognized in the future as of December 31, 2025 (in thousands):</w:t>
      </w:r>
    </w:p>
    <w:tbl>
      <w:tblPr>
        <w:tblW w:w="6448" w:type="dxa"/>
        <w:jc w:val="left"/>
        <w:tblInd w:w="0" w:type="dxa"/>
        <w:tblLayout w:type="fixed"/>
        <w:tblCellMar>
          <w:top w:w="28" w:type="dxa"/>
          <w:left w:w="28" w:type="dxa"/>
          <w:bottom w:w="28" w:type="dxa"/>
          <w:right w:w="28" w:type="dxa"/>
        </w:tblCellMar>
      </w:tblPr>
      <w:tblGrid>
        <w:gridCol w:w="4696"/>
        <w:gridCol w:w="146"/>
        <w:gridCol w:w="296"/>
        <w:gridCol w:w="1099"/>
        <w:gridCol w:w="211"/>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Transaction Price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Combined license, research and manufacturing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Material right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transaction price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289,036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Revenue recognized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(45,377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transaction price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243,659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_____________________</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Comprised of the allocation of the $195.0 million one-time, non-refundable upfront payment, of which $153.8 million was allocated to the four R&amp;D programs and manufacturing services and $41.2 million was allocated to the material right and $94.0 million of variable consideration related to estimated research and manufacturing services for the four R&amp;D Programs.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Recorded within revenue in the statement of operations and comprehensive loss for the year ended December 31, 2025, comprised of $26.8 million recognized of the one-time, non-refundable upfront payment and $18.6 million variable considerations related to estimated research services for the four R&amp;D Programs.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Amounts due to the Company for satisfying the revenue recognition criteria or that are contractually due based upon the terms of the Novo Collaboration Agreement are recorded as accounts receivable in the Company’s balance sheets. Contract liabilities consist of amounts received prior to satisfying the revenue recognition criteria, which are recorded as deferred revenue in the Company’s balance sheets.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summarizes the changes in deferred revenue for the year ended December 31, 2025 (in thousands):</w:t>
      </w:r>
    </w:p>
    <w:tbl>
      <w:tblPr>
        <w:tblW w:w="4310" w:type="dxa"/>
        <w:jc w:val="left"/>
        <w:tblInd w:w="0" w:type="dxa"/>
        <w:tblLayout w:type="fixed"/>
        <w:tblCellMar>
          <w:top w:w="28" w:type="dxa"/>
          <w:left w:w="28" w:type="dxa"/>
          <w:bottom w:w="28" w:type="dxa"/>
          <w:right w:w="28" w:type="dxa"/>
        </w:tblCellMar>
      </w:tblPr>
      <w:tblGrid>
        <w:gridCol w:w="2861"/>
        <w:gridCol w:w="146"/>
        <w:gridCol w:w="211"/>
        <w:gridCol w:w="781"/>
        <w:gridCol w:w="311"/>
      </w:tblGrid>
      <w:tr>
        <w:trPr/>
        <w:tc>
          <w:tcPr>
            <w:tcW w:w="2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195,000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Recognized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8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Balance at December 31, 2025</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168,186</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_____________________</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Comprised of $62.3 million of deferred revenue, current and $105.9 million of deferred revenue, non-current, which is expected to be recognized over 3.5 years. As of December 31, 2025, all of the Company's performance obligations are outstanding.</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Company periodically assesses the probability of receiving payments from achieving the research and development, collaboration target, and regulatory milestones and includes the payment in the transaction price when they are deemed probable. Royalties and commercial sale milestones will be recognized when the subsequent sales occur based on the sales or usage-based royalty exception. The Company also periodically reassesses the probability of exercising Profit Share Option. As of December 31, 2025, none of the milestones were deemed probable and no royalty revenue has been recognized, and the Profit Share Option was deemed improbable with no amount recognized for repayment of reimbursements to Novo.</w:t>
      </w:r>
    </w:p>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Vertex Asset Purchase and Research Service Agreement</w:t>
      </w:r>
    </w:p>
    <w:p>
      <w:pPr>
        <w:pStyle w:val="TextBody"/>
        <w:bidi w:val="0"/>
        <w:spacing w:before="120" w:after="160"/>
        <w:jc w:val="both"/>
        <w:rPr>
          <w:rFonts w:ascii="Times New Roman" w:hAnsi="Times New Roman"/>
          <w:i/>
          <w:color w:val="000000"/>
          <w:sz w:val="20"/>
        </w:rPr>
      </w:pPr>
      <w:r>
        <w:rPr>
          <w:rFonts w:ascii="Times New Roman" w:hAnsi="Times New Roman"/>
          <w:i/>
          <w:color w:val="000000"/>
          <w:sz w:val="20"/>
        </w:rPr>
        <w:t>Vertex Asset Purchase Agreement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In September 2023, the Company entered into an asset purchase agreement with Vertex, under which Vertex acquired an in-process research and development ("IPR&amp;D") asset related to a GPCR program, including all intellectual property, materials, and compounds associated with the program (the “Vertex Asset Purchase Agreement”). The Vertex Asset Purchase Agreement also provided for a potential milestone payment payable to the Company contingent upon the achievement of a milestone event. </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 xml:space="preserve">In July 2025, this milestone event was determined achieved and, as a result, the Company received a payment of $12.5 million in August 2025, which was recorded as a gain on sale of non-financial asset within total operating expenses in the Company’s statements of operations and comprehensive loss for the year ended December 31, 2025. The Company will not receive any other payments related to this IPR&amp;D asset. </w:t>
      </w:r>
    </w:p>
    <w:p>
      <w:pPr>
        <w:pStyle w:val="TextBody"/>
        <w:bidi w:val="0"/>
        <w:spacing w:before="80" w:after="160"/>
        <w:jc w:val="both"/>
        <w:rPr>
          <w:rFonts w:ascii="Times New Roman" w:hAnsi="Times New Roman"/>
          <w:i/>
          <w:color w:val="000000"/>
          <w:sz w:val="20"/>
        </w:rPr>
      </w:pPr>
      <w:r>
        <w:rPr>
          <w:rFonts w:ascii="Times New Roman" w:hAnsi="Times New Roman"/>
          <w:i/>
          <w:color w:val="000000"/>
          <w:sz w:val="20"/>
        </w:rPr>
        <w:t>Vertex Research Service Agreement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 conjunction with the Vertex Asset Purchase Agreement in September 2023, the Company entered into research service agreement with Vertex under which the Company agreed to perform certain exploratory research activities for Vertex (the "Vertex Research Service Agreement"). The Company recognized service revenue associated with the Vertex Research Service Agreement over the performance period of the research services as the services were provided in accordance with ASC 606. The Vertex Research Service Agreement expired in September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year ended December 31, 2025, the Company recorded revenue of $0.6 million related to research activities performed in connection with the Vertex Research Service Agreement. During the year ended December 31, 2024, the Company recorded revenue of $1.1 million related to research activities performed in connection with the Vertex Research Service Agreement.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Marketable Securities and 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records marketable securities and cash equivalents at their estimated fair values, which are based on market prices from a variety of industry standard data providers and generally represent quoted prices for similar assets in active markets or have been derived from observable market data.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measurements of the Company’s cash equivalents and marketable securities are identified at the following levels within the fair value hierarchy (in thousands):</w:t>
      </w:r>
    </w:p>
    <w:p>
      <w:pPr>
        <w:pStyle w:val="TextBody"/>
        <w:bidi w:val="0"/>
        <w:jc w:val="left"/>
        <w:rPr/>
      </w:pPr>
      <w:r>
        <w:rPr/>
        <w:t> </w:t>
      </w:r>
    </w:p>
    <w:tbl>
      <w:tblPr>
        <w:tblW w:w="10025" w:type="dxa"/>
        <w:jc w:val="left"/>
        <w:tblInd w:w="0" w:type="dxa"/>
        <w:tblLayout w:type="fixed"/>
        <w:tblCellMar>
          <w:top w:w="28" w:type="dxa"/>
          <w:left w:w="28" w:type="dxa"/>
          <w:bottom w:w="28" w:type="dxa"/>
          <w:right w:w="28" w:type="dxa"/>
        </w:tblCellMar>
      </w:tblPr>
      <w:tblGrid>
        <w:gridCol w:w="3111"/>
        <w:gridCol w:w="146"/>
        <w:gridCol w:w="211"/>
        <w:gridCol w:w="781"/>
        <w:gridCol w:w="446"/>
        <w:gridCol w:w="446"/>
        <w:gridCol w:w="211"/>
        <w:gridCol w:w="676"/>
        <w:gridCol w:w="446"/>
        <w:gridCol w:w="446"/>
        <w:gridCol w:w="211"/>
        <w:gridCol w:w="781"/>
        <w:gridCol w:w="446"/>
        <w:gridCol w:w="446"/>
        <w:gridCol w:w="239"/>
        <w:gridCol w:w="391"/>
        <w:gridCol w:w="591"/>
      </w:tblGrid>
      <w:tr>
        <w:trPr/>
        <w:tc>
          <w:tcPr>
            <w:tcW w:w="3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9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63,736</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63,736</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50,163</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50,163</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141,984</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141,984</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67,784</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67,784</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32,573</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32,573</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28,026</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28,026</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117,632</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117,632</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35,713</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35,713</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544,025</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63,736</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480,289</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130" w:type="dxa"/>
        <w:jc w:val="left"/>
        <w:tblInd w:w="0" w:type="dxa"/>
        <w:tblLayout w:type="fixed"/>
        <w:tblCellMar>
          <w:top w:w="28" w:type="dxa"/>
          <w:left w:w="28" w:type="dxa"/>
          <w:bottom w:w="28" w:type="dxa"/>
          <w:right w:w="28" w:type="dxa"/>
        </w:tblCellMar>
      </w:tblPr>
      <w:tblGrid>
        <w:gridCol w:w="3111"/>
        <w:gridCol w:w="146"/>
        <w:gridCol w:w="211"/>
        <w:gridCol w:w="781"/>
        <w:gridCol w:w="446"/>
        <w:gridCol w:w="446"/>
        <w:gridCol w:w="211"/>
        <w:gridCol w:w="781"/>
        <w:gridCol w:w="446"/>
        <w:gridCol w:w="446"/>
        <w:gridCol w:w="211"/>
        <w:gridCol w:w="781"/>
        <w:gridCol w:w="446"/>
        <w:gridCol w:w="446"/>
        <w:gridCol w:w="239"/>
        <w:gridCol w:w="391"/>
        <w:gridCol w:w="591"/>
      </w:tblGrid>
      <w:tr>
        <w:trPr/>
        <w:tc>
          <w:tcPr>
            <w:tcW w:w="3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141,779</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141,779</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82,527</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82,527</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8,059</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8,059</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73,555</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73,555</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23,487</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23,487</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14,193</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14,193</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65,406</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65,406</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414,958</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141,779</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273,179</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2025, the Company’s marketable securities consist of debt securities, including U.S. treasury and agency securities, corporate debt securities and commercial paper. These marketable securities are carried at fair value and are included in the tables above. The Company records an allowance for credit losses when unrealized losses are due to credit-related factors. At each reporting date, the Company evaluates securities with unrealized losses to determine whether such losses, if any, are due to credit-related factors. The Company evaluates, among others, whether the Company has the intention to sell any of these marketable securities and whether it is not more likely than not that the Company will be required to sell any of them before recovery of the amortized cost basis. Neither of these criteria were met at December 31, 2025. The credit ratings of the securities held remain of the highest quality. Moreover, the Company continues to receive payments of interest and principal as they become due, and the Company's expectation is that those payments will continue to be received timely. Based on this evaluation, as of December 31, 2025, the Company determined that unrealized losses of its marketable securities were primarily attributable to changes in interest rates and non-credit related factors. As such, no allowances for credit losses were recorded at December 31, 2025. The Company did not hold marketable securities at December 31,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Interest receivable as of December 31, 2025 and 2024 was $3.4 million and $1.0 million, respectively, and is recorded as a component of prepaid expenses and other current assets on the Company’s balance sheets.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2025, all marketable securities in an unrealized loss position had been in an unrealized loss position for less than 12 months. As of December 31, 2025, 44 marketable securities had been in an unrealized loss position for a period of less than 12 months.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2025, the following table summarizes the amortized cost and the unrealized gains (losses) of the marketable securities presented within marketable securities, marketable securities, non-current and cash equivalents (in thousands). </w:t>
      </w:r>
    </w:p>
    <w:p>
      <w:pPr>
        <w:pStyle w:val="TextBody"/>
        <w:bidi w:val="0"/>
        <w:jc w:val="left"/>
        <w:rPr/>
      </w:pPr>
      <w:r>
        <w:rPr/>
        <w:t> </w:t>
      </w:r>
    </w:p>
    <w:tbl>
      <w:tblPr>
        <w:tblW w:w="10040" w:type="dxa"/>
        <w:jc w:val="left"/>
        <w:tblInd w:w="0" w:type="dxa"/>
        <w:tblLayout w:type="fixed"/>
        <w:tblCellMar>
          <w:top w:w="28" w:type="dxa"/>
          <w:left w:w="28" w:type="dxa"/>
          <w:bottom w:w="28" w:type="dxa"/>
          <w:right w:w="28" w:type="dxa"/>
        </w:tblCellMar>
      </w:tblPr>
      <w:tblGrid>
        <w:gridCol w:w="2911"/>
        <w:gridCol w:w="246"/>
        <w:gridCol w:w="1501"/>
        <w:gridCol w:w="146"/>
        <w:gridCol w:w="211"/>
        <w:gridCol w:w="781"/>
        <w:gridCol w:w="146"/>
        <w:gridCol w:w="146"/>
        <w:gridCol w:w="295"/>
        <w:gridCol w:w="591"/>
        <w:gridCol w:w="146"/>
        <w:gridCol w:w="146"/>
        <w:gridCol w:w="318"/>
        <w:gridCol w:w="568"/>
        <w:gridCol w:w="166"/>
        <w:gridCol w:w="146"/>
        <w:gridCol w:w="252"/>
        <w:gridCol w:w="933"/>
        <w:gridCol w:w="391"/>
      </w:tblGrid>
      <w:tr>
        <w:trPr/>
        <w:tc>
          <w:tcPr>
            <w:tcW w:w="29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br/>
              <w:t>Contractual</w:t>
              <w:br/>
              <w:t>Maturity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Estimated 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securities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maturity less than 1 year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322,720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to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117,632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securities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to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to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479,672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480,289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As of December 31, 2024, the following table summarizes the amortized cost and the unrealized gains (losses) of the marketable securities presented within marketable securities, marketable securities, non-current and cash equivalents (in thousands):</w:t>
      </w:r>
    </w:p>
    <w:tbl>
      <w:tblPr>
        <w:tblW w:w="10040" w:type="dxa"/>
        <w:jc w:val="left"/>
        <w:tblInd w:w="0" w:type="dxa"/>
        <w:tblLayout w:type="fixed"/>
        <w:tblCellMar>
          <w:top w:w="28" w:type="dxa"/>
          <w:left w:w="28" w:type="dxa"/>
          <w:bottom w:w="28" w:type="dxa"/>
          <w:right w:w="28" w:type="dxa"/>
        </w:tblCellMar>
      </w:tblPr>
      <w:tblGrid>
        <w:gridCol w:w="2911"/>
        <w:gridCol w:w="246"/>
        <w:gridCol w:w="1501"/>
        <w:gridCol w:w="146"/>
        <w:gridCol w:w="211"/>
        <w:gridCol w:w="781"/>
        <w:gridCol w:w="146"/>
        <w:gridCol w:w="146"/>
        <w:gridCol w:w="295"/>
        <w:gridCol w:w="591"/>
        <w:gridCol w:w="146"/>
        <w:gridCol w:w="146"/>
        <w:gridCol w:w="318"/>
        <w:gridCol w:w="568"/>
        <w:gridCol w:w="166"/>
        <w:gridCol w:w="146"/>
        <w:gridCol w:w="252"/>
        <w:gridCol w:w="933"/>
        <w:gridCol w:w="391"/>
      </w:tblGrid>
      <w:tr>
        <w:trPr/>
        <w:tc>
          <w:tcPr>
            <w:tcW w:w="29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br/>
              <w:t>Contractual</w:t>
              <w:br/>
              <w:t>Maturity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Estimated 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maturity less than 1 year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203,313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to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65,406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to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to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273,179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following table summarizes marketable securities in an unrealized loss position (in thousands):</w:t>
      </w:r>
    </w:p>
    <w:tbl>
      <w:tblPr>
        <w:tblW w:w="9748" w:type="dxa"/>
        <w:jc w:val="left"/>
        <w:tblInd w:w="0" w:type="dxa"/>
        <w:tblLayout w:type="fixed"/>
        <w:tblCellMar>
          <w:top w:w="28" w:type="dxa"/>
          <w:left w:w="28" w:type="dxa"/>
          <w:bottom w:w="28" w:type="dxa"/>
          <w:right w:w="28" w:type="dxa"/>
        </w:tblCellMar>
      </w:tblPr>
      <w:tblGrid>
        <w:gridCol w:w="2911"/>
        <w:gridCol w:w="3256"/>
        <w:gridCol w:w="146"/>
        <w:gridCol w:w="211"/>
        <w:gridCol w:w="676"/>
        <w:gridCol w:w="446"/>
        <w:gridCol w:w="446"/>
        <w:gridCol w:w="447"/>
        <w:gridCol w:w="798"/>
        <w:gridCol w:w="411"/>
      </w:tblGrid>
      <w:tr>
        <w:trPr/>
        <w:tc>
          <w:tcPr>
            <w:tcW w:w="291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 Contractual Maturity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 Loss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than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57,503</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securities</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than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10,064</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maturity less than 1 year</w:t>
            </w:r>
          </w:p>
        </w:tc>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67,567</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securities</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to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17,484</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to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4,009</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to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3,389</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92,449</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 Leases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leases office and research and development space at the Company’s headquarters in South San Francisco, California under an operating lease. In April 2021, the Company entered into a lease for 12,560 square feet, set to expire in February 2023. In September 2022, the lease was amended to add 9,348 square feet, totaling 21,908 square feet (the “Original Leased Space”), also expiring in February 2023. In December 2022, the Company entered into another lease amendment to extend the term of the Original Leased Space and added 22,911 square feet (the “Additional Leased Space”). The Company took control of the Additional Leased Space in November 2023, at which point the Company vacated the Original Leased Space to allow the landlord to renovate 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Renovation of the Original Leased Space was completed in July 2024. Upon completion of the renovation of the Original Leased Space, the lease of the Original Leased Space commenced, resulting in the total leased premises increasing to 44,819 square feet (the “Leased Space”).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lease term for the Leased Space expires in July 2032, with an option to extend the lease for eight additional years (the “Extension Option”). As of December 31, 2025 and 2024, it was not probable that the Company would exercise the Extension Option, therefore, it was excluded from the right-of-use asset and lease liability calculations.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year ended December 31, 2024, the Company recorded a $12.5 million operating lease right-of-use asset and operating lease liability upon completion of the renovations of the 21,908 square foot office and research and development space (the "Original Leased Space") as the Company occupied the property. These amounts are disclosed in the supplemental information of noncash activities on the statements of cash flows. </w:t>
      </w:r>
    </w:p>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is required to pay base rent plus its proportionate share of operating expenses, as defined in the applicable lease agreement on all of its leases. Variable lease payments related to operating expenses including utilities, maintenance costs and real estate taxes were $1.1 million and $0.7 million for the years ended December 31, 2025 and 2024,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Operating lease expenses, excluding variable lease payments, were $4.7 million and $3.5 million for the years ended December 31, 2025 and 2024, respectively. Short-term lease expense was not material for the periods presented. As of December 31, 2025 and 2024, the weighted average remaining lease term of the Leased Space was 6.6 and 7.6 years, respectively. The weighted average incremental borrowing rate used for the calculation of the present value of lease payments over the lease term was 11.34% for both the years ended December 31, 2025 and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summarizes the expenses recognized and cash paid for the Leased Space (in thousands): </w:t>
      </w:r>
    </w:p>
    <w:p>
      <w:pPr>
        <w:pStyle w:val="TextBody"/>
        <w:bidi w:val="0"/>
        <w:jc w:val="both"/>
        <w:rPr/>
      </w:pPr>
      <w:r>
        <w:rPr/>
        <w:t> </w:t>
      </w:r>
    </w:p>
    <w:tbl>
      <w:tblPr>
        <w:tblW w:w="5690" w:type="dxa"/>
        <w:jc w:val="left"/>
        <w:tblInd w:w="0" w:type="dxa"/>
        <w:tblLayout w:type="fixed"/>
        <w:tblCellMar>
          <w:top w:w="28" w:type="dxa"/>
          <w:left w:w="28" w:type="dxa"/>
          <w:bottom w:w="28" w:type="dxa"/>
          <w:right w:w="28" w:type="dxa"/>
        </w:tblCellMar>
      </w:tblPr>
      <w:tblGrid>
        <w:gridCol w:w="3301"/>
        <w:gridCol w:w="146"/>
        <w:gridCol w:w="233"/>
        <w:gridCol w:w="632"/>
        <w:gridCol w:w="161"/>
        <w:gridCol w:w="161"/>
        <w:gridCol w:w="233"/>
        <w:gridCol w:w="632"/>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4,469</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As of December 31, 2025, future minimum rental payments for operating leases were as follows (in thousands): </w:t>
      </w:r>
    </w:p>
    <w:p>
      <w:pPr>
        <w:pStyle w:val="TextBody"/>
        <w:bidi w:val="0"/>
        <w:jc w:val="both"/>
        <w:rPr/>
      </w:pPr>
      <w:r>
        <w:rPr/>
        <w:t> </w:t>
      </w:r>
    </w:p>
    <w:tbl>
      <w:tblPr>
        <w:tblW w:w="5815" w:type="dxa"/>
        <w:jc w:val="left"/>
        <w:tblInd w:w="0" w:type="dxa"/>
        <w:tblLayout w:type="fixed"/>
        <w:tblCellMar>
          <w:top w:w="28" w:type="dxa"/>
          <w:left w:w="28" w:type="dxa"/>
          <w:bottom w:w="28" w:type="dxa"/>
          <w:right w:w="28" w:type="dxa"/>
        </w:tblCellMar>
      </w:tblPr>
      <w:tblGrid>
        <w:gridCol w:w="4191"/>
        <w:gridCol w:w="146"/>
        <w:gridCol w:w="211"/>
        <w:gridCol w:w="676"/>
        <w:gridCol w:w="591"/>
      </w:tblGrid>
      <w:tr>
        <w:trPr/>
        <w:tc>
          <w:tcPr>
            <w:tcW w:w="4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Future</w:t>
              <w:br/>
              <w:t>Payments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present value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December 31, 2025 and 2024, the Company did not have any finance leases.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Commitments and Contingencies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ordinary course of business, the Company may be subject to legal proceedings, claims and litigation, as the Company operates in an industry susceptible to patent or other legal claims. The Company accounts for estimated losses with respect to legal proceedings and claims when such losses are probable and estimable. Legal costs associated with these matters are expensed when incurred. The Company was not subject to any material legal proceedings as of December 31, 2025 and 2024, and the Company is not currently a party to any legal proceeding that, if determined adversely to the Company, in management’s opinion, is currently expected to individually or in the aggregate have a material adverse effect on the Company’s business, financial condition or results of operations taken as a whole.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Indemnifications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ordinary course of business, the Company enters into agreements that may include indemnification provisions. As permitted under Delaware law and in accordance with its bylaws, the Company indemnifies its officers and directors for certain events or occurrences while the officer or director is or was serving in such capacity. The Company is also party to indemnification agreements with its officers and directors.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maximum potential amount of future payments that the Company could be required to make under these provisions is not determinable; however, the Company currently holds director and officer liability insurance. This insurance limits the Company’s </w:t>
      </w:r>
    </w:p>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exposure and may enable it to recover a portion of any future amounts paid. The Company is not currently aware of any indemnification claims. In addition, the Company believes that the fair value of any potential indemnification obligations is minimal. Accordingly, the Company did not record any liabilities associated with these indemnification rights and agreements as of December 31, 2025 and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Convertible Preferred Stock</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Immediately prior to the closing of the Company's IPO in October 2024, the Company’s outstanding convertible preferred stock automatically converted into </w:t>
      </w:r>
      <w:r>
        <w:rPr>
          <w:rFonts w:ascii="Times New Roman" w:hAnsi="Times New Roman"/>
          <w:color w:val="231F20"/>
          <w:sz w:val="20"/>
        </w:rPr>
        <w:t xml:space="preserve">22,839,774 </w:t>
      </w:r>
      <w:r>
        <w:rPr>
          <w:rFonts w:ascii="Times New Roman" w:hAnsi="Times New Roman"/>
          <w:color w:val="000000"/>
          <w:sz w:val="20"/>
        </w:rPr>
        <w:t>shares of common stock. Converted preferred stock outstanding as of the date of the IPO consisted of 196,657,452 shares. Each share of outstanding convertible preferred stock was converted into common stock at a ratio of 8.6103 convertible preferred shares to 1 common share. No shares of convertible preferred stock were authorized, issued or outstanding at December 31, 2025 and 2024.</w:t>
      </w:r>
    </w:p>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 November 2021, the Company executed a Series A Convertible Preferred Stock financing arrangement that would provide financing of up to $100.0 million over an initial tranche and subsequent callable tranches through the issuance of up to 100.0 million shares of Series A Convertible Preferred Stock at an issuance price of $1.00 per share. In the initial tranche, the Company issued 45.0 million shares of Series A Convertible Preferred Stock for net proceeds of $44.7 million, of which $30.0 million was received in cash, net of issuance costs, and $14.7 million was for the conversion of the then outstanding convertible promissory notes plus accrued interest. The Series A Convertible Preferred Stock financing arrangement represented an equity financing, per the terms of the outstanding convertible promissory notes, and as such the unpaid principal and accrued interest outstanding of $14.7 million was converted into 14.7 million shares of Series A Convertible Preferred Stock. Additionally, in November 2022, the Company executed the second tranche and issued 30.0 million shares of Series A Convertible Preferred Stock and received net cash proceeds of $30.0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June 2023, the Company entered into a Series B Convertible Preferred Stock financing arrangement in which 121,657,452 shares of Series B Convertible Preferred Stock were authorized to be issued at an issuance price of $1.23297 per share over two tranches, for total proceeds of up to $150.0 million. In June 2023 and July 2023, the Company issued an aggregate of 60.8 million shares of Series B Convertible Preferred Stock at an issuance price of $1.23297 per share for net proceeds of $74.5 million related to the first tranche, with a potential second tranche of additional funding for up to $75.0 million based on approval of the Board of Directors and consent of the majority of the holders of the then-outstanding Series B Convertible Preferred Stock. The Series B Convertible Preferred Stock Purchase Agreement provides that, upon the fulfillment of certain conditions, each investor will purchase its pro rata portion of the shares to be issued in additional Series B Convertible Preferred Stock closings. Further, the Company agreed to sell, and issue said shares of Series B Convertible Preferred Stock on the same terms as the first tranche in the Purchase Agreement. The Company did not separately account for tranche purchase rights described above as they were not freestanding from the associated shares of convertible preferred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2024, the Company executed the second tranche of the Series B Convertible Preferred Stock financing arrangement and issued the remaining 60.8 million shares of Series B Convertible Preferred Stock for net proceeds of $74.9 million.</w:t>
      </w:r>
    </w:p>
    <w:p>
      <w:pPr>
        <w:pStyle w:val="TextBody"/>
        <w:bidi w:val="0"/>
        <w:spacing w:before="360" w:after="283"/>
        <w:jc w:val="left"/>
        <w:rPr>
          <w:rFonts w:ascii="Times New Roman" w:hAnsi="Times New Roman"/>
          <w:sz w:val="20"/>
        </w:rPr>
      </w:pPr>
      <w:r>
        <w:rPr>
          <w:rFonts w:ascii="Times New Roman" w:hAnsi="Times New Roman"/>
          <w:b/>
          <w:color w:val="000000"/>
          <w:sz w:val="20"/>
        </w:rPr>
        <w:t>9.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2025 and 2024, the Company was authorized to issue 500.0 million shares of common stock, par value $0.001 per share.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October 2024, the Company amended and restated its certificate of incorporation, which was filed immediately prior to the closing of its IPO and among other things, increased the number of shares of common stock authorized for issuance to 500.0 million shares of common stock.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October 2024, the Company completed its IPO of its common stock. In connection with the Company's IPO, the Company issued and sold 18.4 million shares of its common stock, which included an additional 2.4 million shares of common stock that were issued to the underwriters pursuant to the full exercise of their option to purchase additional shares of common stock, at the public offering price of $18.00 per share. As a result, the Company received $302.8 million in net proceeds, after deducting underwriting discounts and commissions and other offering costs payable by the Company of $28.4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holders of common stock are entitled to dividends when and if declared by the board of directors. The board of directors has not declared any dividends and the Company has not paid any dividends. The holders of common stock are entitled to one vote per share on all matters to be voted upon by the stockholders.</w:t>
      </w:r>
    </w:p>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reserved the following shares of common stock, on an as-converted basis, for future issuance: </w:t>
      </w:r>
    </w:p>
    <w:p>
      <w:pPr>
        <w:pStyle w:val="TextBody"/>
        <w:bidi w:val="0"/>
        <w:jc w:val="left"/>
        <w:rPr/>
      </w:pPr>
      <w:r>
        <w:rPr/>
        <w:t> </w:t>
      </w:r>
    </w:p>
    <w:tbl>
      <w:tblPr>
        <w:tblW w:w="6864" w:type="dxa"/>
        <w:jc w:val="left"/>
        <w:tblInd w:w="0" w:type="dxa"/>
        <w:tblLayout w:type="fixed"/>
        <w:tblCellMar>
          <w:top w:w="28" w:type="dxa"/>
          <w:left w:w="28" w:type="dxa"/>
          <w:bottom w:w="28" w:type="dxa"/>
          <w:right w:w="28" w:type="dxa"/>
        </w:tblCellMar>
      </w:tblPr>
      <w:tblGrid>
        <w:gridCol w:w="4081"/>
        <w:gridCol w:w="146"/>
        <w:gridCol w:w="146"/>
        <w:gridCol w:w="931"/>
        <w:gridCol w:w="146"/>
        <w:gridCol w:w="146"/>
        <w:gridCol w:w="146"/>
        <w:gridCol w:w="931"/>
        <w:gridCol w:w="19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4,378,484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2,938,982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future grants under 2024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4,257,640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3,743,915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2024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369,402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8,887,335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7,052,299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10.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2024 Stock Option and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October 2024, the Company's board of directors adopted, and its stockholders approved, the 2024 Stock Option and Incentive Plan (the “2024 Plan”) which became effective on October 25, 2024. The 2024 Plan allows for the issuance of equity-based incentive awards to the Company's officers, employees, directors and consultants.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2024 Plan provides that the number of shares reserved and available for issuance under the 2024 Plan will automatically increase on January 1, 2025 and each January 1 thereafter through January 1, 2034 by 5% of the outstanding number of shares of the Company's common stock on the immediately preceding December 31 or such lesser number of shares as determined by the Company's compensation committee.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2024 Plan replaced the Septerna, Inc. 2021 Stock Option and Grant Plan (the “2021 Plan”) as the Company’s board of directors determined not to make additional awards under the 2021 Plan following the completion of the IPO. However, the 2021 Plan will continue to govern outstanding equity awards granted thereunder. The shares of common stock underlying any awards under the 2024 Plan and the 2021 Plan that are forfeited, cancelled, held back upon exercise or settlement of an award to satisfy the exercise price or tax withholding, reacquired by the Company prior to vesting, satisfied without the issuance of stock, expire or are otherwise terminated (other than by exercise) will be added to the shares of the Company's common stock available for issuance under the 2024 Plan. 4.3 million and 3.7 million shares remained available for future issuance under the 2024 Plan as of December 31, 2025 and 2024,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Stock options are governed by stock option agreements between the Company and recipients of stock options. Incentive stock options and nonqualified stock options may be granted under the 2024 Plan at an exercise price of not less than 100% of the fair market value of the common stock on the date of grant, determined by the Compensation Committee of the board of directors. Options become exercisable and expire as determined by the Compensation Committee, provided that the term of the stock options may not exceed ten years from the date of grant.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2021 Stock Option and Grant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2021, the Company adopted the 2021 Plan, which authorizes the Company to grant incentive stock options, non-qualified stock options, restricted stock awards, unrestricted stock awards and restricted stock units, to officers, employees, directors, consultants, or other key persons of the Company. The terms of the stock option and restricted stock agreements, including vesting requirements, are determined by the Board of Directors, subject to the provisions of the 2021 Plan. Stock option awards expire 10 years from the grant date, or as otherwise determined by the Board of Directors, or in the case of incentive stock options granted to 10% stockholders, the term is no more than 5 years from the grant date. Additionally, the Company granted and issued restricted stock awards and allowed the recipients to purchase the unvested restricted stock awards at par value per share. The shares issued for unvested restricted stock awards under the 2021 Plan are subject to repurchase by the Company at the original issuance price in the event of the holder’s termination of its relationship with the Company. Consideration received for shares associated with the unvested restricted stock awards is initially recorded as a liability and subsequently reclassified into stockholders’ equity as the related awards vest over the requisite service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 shares remained available for future issuance under the 2021 Plan as of December 31, 2025 and 2024 as the 2021 Plan was replaced by the 2024 Plan.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Restricted Stock Awards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granted restricted stock awards from the 2021 Plan and from outside of its stock plans, under the terms of restricted stock purchase agreements and subscription agreements. Unvested shares are subject to repurchase by the Company upon the holder’s termination of its relationship with the Company at the original purchase price. Consideration received for shares associated with the </w:t>
      </w:r>
    </w:p>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unvested restricted stock awards is initially recorded as a liability and subsequently reclassified into stockholders’ equity as the related awards vest.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summarizes restricted stock award activity:</w:t>
      </w:r>
    </w:p>
    <w:p>
      <w:pPr>
        <w:pStyle w:val="TextBody"/>
        <w:bidi w:val="0"/>
        <w:jc w:val="both"/>
        <w:rPr/>
      </w:pPr>
      <w:r>
        <w:rPr/>
        <w:t> </w:t>
      </w:r>
    </w:p>
    <w:tbl>
      <w:tblPr>
        <w:tblW w:w="6046" w:type="dxa"/>
        <w:jc w:val="left"/>
        <w:tblInd w:w="0" w:type="dxa"/>
        <w:tblLayout w:type="fixed"/>
        <w:tblCellMar>
          <w:top w:w="28" w:type="dxa"/>
          <w:left w:w="28" w:type="dxa"/>
          <w:bottom w:w="28" w:type="dxa"/>
          <w:right w:w="28" w:type="dxa"/>
        </w:tblCellMar>
      </w:tblPr>
      <w:tblGrid>
        <w:gridCol w:w="3246"/>
        <w:gridCol w:w="146"/>
        <w:gridCol w:w="148"/>
        <w:gridCol w:w="858"/>
        <w:gridCol w:w="166"/>
        <w:gridCol w:w="146"/>
        <w:gridCol w:w="293"/>
        <w:gridCol w:w="652"/>
        <w:gridCol w:w="391"/>
      </w:tblGrid>
      <w:tr>
        <w:trPr/>
        <w:tc>
          <w:tcPr>
            <w:tcW w:w="3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b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b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awards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awards 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The restricted stock awards generally include a service condition for vesting and vest over four years with a one-year cliff vesting and pro-rata monthly vesting thereafter, but some awards vest over different time periods. In addition, some restricted stock awards include vesting criteria subject to the achievement of performance-based conditions in addition to service conditions (“performance RSAs”). As of December 31, 2025, none of the outstanding and unvested performance RSAs were subject to achievement of performance-based criteria for vesting. The aggregate grant date fair value of shares vested during the year ended December 31, 2025 was $1.3 million. The remaining liability related to restricted stock awards as of December 31, 2025 was not material and was recorded in accrued expenses and other current liabilities on the balance sheet.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summarizes stock option activity under the 2024 Plan:</w:t>
      </w:r>
    </w:p>
    <w:p>
      <w:pPr>
        <w:pStyle w:val="TextBody"/>
        <w:bidi w:val="0"/>
        <w:jc w:val="both"/>
        <w:rPr/>
      </w:pPr>
      <w:r>
        <w:rPr/>
        <w:t> </w:t>
      </w:r>
    </w:p>
    <w:tbl>
      <w:tblPr>
        <w:tblW w:w="8648" w:type="dxa"/>
        <w:jc w:val="left"/>
        <w:tblInd w:w="0" w:type="dxa"/>
        <w:tblLayout w:type="fixed"/>
        <w:tblCellMar>
          <w:top w:w="28" w:type="dxa"/>
          <w:left w:w="28" w:type="dxa"/>
          <w:bottom w:w="28" w:type="dxa"/>
          <w:right w:w="28" w:type="dxa"/>
        </w:tblCellMar>
      </w:tblPr>
      <w:tblGrid>
        <w:gridCol w:w="3166"/>
        <w:gridCol w:w="146"/>
        <w:gridCol w:w="146"/>
        <w:gridCol w:w="931"/>
        <w:gridCol w:w="166"/>
        <w:gridCol w:w="146"/>
        <w:gridCol w:w="230"/>
        <w:gridCol w:w="626"/>
        <w:gridCol w:w="146"/>
        <w:gridCol w:w="146"/>
        <w:gridCol w:w="236"/>
        <w:gridCol w:w="755"/>
        <w:gridCol w:w="146"/>
        <w:gridCol w:w="146"/>
        <w:gridCol w:w="267"/>
        <w:gridCol w:w="858"/>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Options</w:t>
              <w:b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1,914,914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4,378,484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1,096,087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Stock options include a service condition for vesting and generally vest over four years. The aggregate intrinsic values of options outstanding and exercisable were calculated as the difference between the exercise price of the options and the closing market price of the Company’s common stock as of December 31,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aggregate grant date fair value of options that vested for the year ended December 31, 2025 was $4.9 million. The options granted in the year ended December 31, 2025 and 2024 had a weighted-average per share grant-date fair value of $9.58 and $6.65, respectively, and a total grant date fair value of $18.3 million and $13.1 million, respectively. The total intrinsic value of stock options exercised during the year ended December 31, 2025 was $2.2 million.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2024 Employee Stock Purchase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October 2024, the Company's board of directors adopted, and its stockholders approved, the 2024 ESPP. The 2024 ESPP provides that the number of shares reserved and available for issuance will automatically increase on January 1, 2026 and each January 1 thereafter through January 1, 2034, by the lesser of (i) 0.4 million shares of common stock, (ii) 1% of the outstanding number of shares </w:t>
      </w:r>
    </w:p>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of common stock on the immediately preceding December 31, or (iii) such lesser number of shares of common stock as determined by the administrator of the 2024 ESPP.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2024 ESPP provides eligible employees with an opportunity to purchase common stock from the Company and to pay for their purchases through payroll deductions.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offering periods begin on May 1 and November 1, will be twenty-four (24) months in duration and include four (4) purchase periods, each purchase period lasting six (6) months. The purchase price will be 85% of the fair market value per share of the Company's common stock on either the offering date, which is the first trading day of the offering period, or the purchase date, which is the last trading day of the purchase period, whichever is less. If the fair market value of a share of the Company's common stock on any purchase date within a particular offering period is less than the fair market value on the start date of that offering period, then the offering period will automatically terminate and the employees in that offering period will automatically be transferred and enrolled in a new offering period which will begin on the next day following such purchase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year ended December 31, 2025, the Company issued 118,191 shares at a weighted average share price of $6.07 per share. As of December 31, 2025, there were 0.3 million shares available for issuance under the 2024 ESPP.</w:t>
      </w:r>
    </w:p>
    <w:p>
      <w:pPr>
        <w:pStyle w:val="TextBody"/>
        <w:bidi w:val="0"/>
        <w:spacing w:before="360" w:after="283"/>
        <w:jc w:val="left"/>
        <w:rPr>
          <w:rFonts w:ascii="Times New Roman" w:hAnsi="Times New Roman"/>
          <w:sz w:val="20"/>
        </w:rPr>
      </w:pPr>
      <w:r>
        <w:rPr>
          <w:rFonts w:ascii="Times New Roman" w:hAnsi="Times New Roman"/>
          <w:b/>
          <w:i/>
          <w:color w:val="000000"/>
          <w:sz w:val="20"/>
        </w:rPr>
        <w:t>Stock Option and ESPP Valuation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determining the fair value of the stock options and ESPP granted, the Company uses the Black-Scholes option pricing model and assumptions discussed below. This model utilizes inputs that are subjective. </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Expected Term — </w:t>
      </w:r>
      <w:r>
        <w:rPr>
          <w:rFonts w:ascii="Times New Roman" w:hAnsi="Times New Roman"/>
          <w:color w:val="000000"/>
          <w:sz w:val="20"/>
        </w:rPr>
        <w:t>The expected term represents the period that the Company’s stock options granted are expected to be outstanding and is determined using the simplified method (based on the mid-point between the vesting date and the end of the contractual term). The Company has very limited historical information to develop reasonable expectations about future exercise patterns and post-vesting employment termination behavior for its stock option grants. The Company will continue to apply this process until a sufficient amount of historical information regarding employee exercise patterns and post-vesting employment termination behavior becomes available.</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Expected Volatility — </w:t>
      </w:r>
      <w:r>
        <w:rPr>
          <w:rFonts w:ascii="Times New Roman" w:hAnsi="Times New Roman"/>
          <w:color w:val="000000"/>
          <w:sz w:val="20"/>
        </w:rPr>
        <w:t xml:space="preserve">Due to the Company’s limited operating history and lack of company-specific historical volatility as a public company, due to the Company's IPO in October 2024, or implied volatility as a private company, the expected volatility was estimated based on the average volatility for comparable publicly traded biopharmaceutical companies over a period, where available, equal to the expected term of the stock option grants. The comparable companies were chosen based on their similar size, life cycle stage and area of specialty. </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Risk-free Interest Rate — </w:t>
      </w:r>
      <w:r>
        <w:rPr>
          <w:rFonts w:ascii="Times New Roman" w:hAnsi="Times New Roman"/>
          <w:color w:val="000000"/>
          <w:sz w:val="20"/>
        </w:rPr>
        <w:t xml:space="preserve">The risk-free interest rate is based on the U.S. Treasury zero coupon issues in effect at the time of grant for periods corresponding with the expected term of the options. </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Expected Dividend — </w:t>
      </w:r>
      <w:r>
        <w:rPr>
          <w:rFonts w:ascii="Times New Roman" w:hAnsi="Times New Roman"/>
          <w:color w:val="000000"/>
          <w:sz w:val="20"/>
        </w:rPr>
        <w:t xml:space="preserve">The Company has never paid dividends on its common stock and does not anticipate paying dividends on its common stock in the near future. Therefore, the Company used an expected dividend yield of zero.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weighted-average assumptions used to value employee and non-employee stock option awards granted during the years ended December 31, 2025 and 2024, using the Black-Scholes option pricing model, were as follows:</w:t>
      </w:r>
    </w:p>
    <w:p>
      <w:pPr>
        <w:pStyle w:val="TextBody"/>
        <w:bidi w:val="0"/>
        <w:jc w:val="both"/>
        <w:rPr/>
      </w:pPr>
      <w:r>
        <w:rPr/>
        <w:t> </w:t>
      </w:r>
    </w:p>
    <w:tbl>
      <w:tblPr>
        <w:tblW w:w="4526" w:type="dxa"/>
        <w:jc w:val="left"/>
        <w:tblInd w:w="0" w:type="dxa"/>
        <w:tblLayout w:type="fixed"/>
        <w:tblCellMar>
          <w:top w:w="28" w:type="dxa"/>
          <w:left w:w="28" w:type="dxa"/>
          <w:bottom w:w="28" w:type="dxa"/>
          <w:right w:w="28" w:type="dxa"/>
        </w:tblCellMar>
      </w:tblPr>
      <w:tblGrid>
        <w:gridCol w:w="2131"/>
        <w:gridCol w:w="146"/>
        <w:gridCol w:w="146"/>
        <w:gridCol w:w="466"/>
        <w:gridCol w:w="146"/>
        <w:gridCol w:w="271"/>
        <w:gridCol w:w="146"/>
        <w:gridCol w:w="146"/>
        <w:gridCol w:w="466"/>
        <w:gridCol w:w="146"/>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weighted-average assumptions used to value employee stock purchase plan shares granted during the year ended December 31, 2025, using the Black-Scholes option pricing model, were as follows:</w:t>
      </w:r>
    </w:p>
    <w:p>
      <w:pPr>
        <w:pStyle w:val="TextBody"/>
        <w:bidi w:val="0"/>
        <w:jc w:val="left"/>
        <w:rPr/>
      </w:pPr>
      <w:r>
        <w:rPr/>
        <w:t> </w:t>
      </w:r>
    </w:p>
    <w:tbl>
      <w:tblPr>
        <w:tblW w:w="4316" w:type="dxa"/>
        <w:jc w:val="left"/>
        <w:tblInd w:w="0" w:type="dxa"/>
        <w:tblLayout w:type="fixed"/>
        <w:tblCellMar>
          <w:top w:w="28" w:type="dxa"/>
          <w:left w:w="28" w:type="dxa"/>
          <w:bottom w:w="28" w:type="dxa"/>
          <w:right w:w="28" w:type="dxa"/>
        </w:tblCellMar>
      </w:tblPr>
      <w:tblGrid>
        <w:gridCol w:w="2131"/>
        <w:gridCol w:w="146"/>
        <w:gridCol w:w="252"/>
        <w:gridCol w:w="988"/>
        <w:gridCol w:w="252"/>
        <w:gridCol w:w="547"/>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86.53</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Stock-based compensation expense for restricted stock awards, stock options, and ESPP recognized in the Company’s statements of operations and comprehensive loss is presented as follows (in thousands): </w:t>
      </w:r>
    </w:p>
    <w:p>
      <w:pPr>
        <w:pStyle w:val="TextBody"/>
        <w:bidi w:val="0"/>
        <w:jc w:val="both"/>
        <w:rPr/>
      </w:pPr>
      <w:r>
        <w:rPr/>
        <w:t> </w:t>
      </w:r>
    </w:p>
    <w:tbl>
      <w:tblPr>
        <w:tblW w:w="6240" w:type="dxa"/>
        <w:jc w:val="left"/>
        <w:tblInd w:w="0" w:type="dxa"/>
        <w:tblLayout w:type="fixed"/>
        <w:tblCellMar>
          <w:top w:w="28" w:type="dxa"/>
          <w:left w:w="28" w:type="dxa"/>
          <w:bottom w:w="28" w:type="dxa"/>
          <w:right w:w="28" w:type="dxa"/>
        </w:tblCellMar>
      </w:tblPr>
      <w:tblGrid>
        <w:gridCol w:w="3651"/>
        <w:gridCol w:w="146"/>
        <w:gridCol w:w="233"/>
        <w:gridCol w:w="632"/>
        <w:gridCol w:w="161"/>
        <w:gridCol w:w="161"/>
        <w:gridCol w:w="233"/>
        <w:gridCol w:w="632"/>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4,087</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4,389</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8,476</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As of December 31, 2025, total unrecognized stock-based compensation expense related to unvested restricted stock awards, stock options, and ESPP was $24.5 million, which is expected to be recognized over a weighted-average period of 2.7 years.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components of the provision (benefit) for income taxes were as follows for the years ended December 31, 2025 and 2024 (in thousands):</w:t>
      </w:r>
    </w:p>
    <w:p>
      <w:pPr>
        <w:pStyle w:val="TextBody"/>
        <w:bidi w:val="0"/>
        <w:jc w:val="left"/>
        <w:rPr/>
      </w:pPr>
      <w:r>
        <w:rPr/>
        <w:t> </w:t>
      </w:r>
    </w:p>
    <w:tbl>
      <w:tblPr>
        <w:tblW w:w="5825" w:type="dxa"/>
        <w:jc w:val="left"/>
        <w:tblInd w:w="0" w:type="dxa"/>
        <w:tblLayout w:type="fixed"/>
        <w:tblCellMar>
          <w:top w:w="28" w:type="dxa"/>
          <w:left w:w="28" w:type="dxa"/>
          <w:bottom w:w="28" w:type="dxa"/>
          <w:right w:w="28" w:type="dxa"/>
        </w:tblCellMar>
      </w:tblPr>
      <w:tblGrid>
        <w:gridCol w:w="3216"/>
        <w:gridCol w:w="146"/>
        <w:gridCol w:w="281"/>
        <w:gridCol w:w="461"/>
        <w:gridCol w:w="194"/>
        <w:gridCol w:w="194"/>
        <w:gridCol w:w="281"/>
        <w:gridCol w:w="641"/>
        <w:gridCol w:w="411"/>
      </w:tblGrid>
      <w:tr>
        <w:trPr/>
        <w:tc>
          <w:tcPr>
            <w:tcW w:w="3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As discussed in Note 2, we adopted ASU 2023-09 on a prospective basis beginning with the year ended December 31, 2025. For the year ended December 31, 2025, the tax provision expense was not material. For the year ended December 31, 2024, the Company recorded income tax benefit of $0.5 million.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A reconciliation of the Company’s effective tax rate to the statutory U.S. federal rate is as follows:</w:t>
      </w:r>
    </w:p>
    <w:tbl>
      <w:tblPr>
        <w:tblW w:w="6015" w:type="dxa"/>
        <w:jc w:val="left"/>
        <w:tblInd w:w="0" w:type="dxa"/>
        <w:tblLayout w:type="fixed"/>
        <w:tblCellMar>
          <w:top w:w="28" w:type="dxa"/>
          <w:left w:w="28" w:type="dxa"/>
          <w:bottom w:w="28" w:type="dxa"/>
          <w:right w:w="28" w:type="dxa"/>
        </w:tblCellMar>
      </w:tblPr>
      <w:tblGrid>
        <w:gridCol w:w="3181"/>
        <w:gridCol w:w="146"/>
        <w:gridCol w:w="211"/>
        <w:gridCol w:w="736"/>
        <w:gridCol w:w="166"/>
        <w:gridCol w:w="146"/>
        <w:gridCol w:w="146"/>
        <w:gridCol w:w="526"/>
        <w:gridCol w:w="166"/>
        <w:gridCol w:w="5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taxes at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 net of federal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Permanent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unrecognized tax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5278" w:type="dxa"/>
        <w:jc w:val="left"/>
        <w:tblInd w:w="0" w:type="dxa"/>
        <w:tblLayout w:type="fixed"/>
        <w:tblCellMar>
          <w:top w:w="28" w:type="dxa"/>
          <w:left w:w="28" w:type="dxa"/>
          <w:bottom w:w="28" w:type="dxa"/>
          <w:right w:w="28" w:type="dxa"/>
        </w:tblCellMar>
      </w:tblPr>
      <w:tblGrid>
        <w:gridCol w:w="2821"/>
        <w:gridCol w:w="146"/>
        <w:gridCol w:w="432"/>
        <w:gridCol w:w="1563"/>
        <w:gridCol w:w="316"/>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taxes at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 net of federal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effective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Deferred income taxes reflect the net tax effects of loss and credit carryforwards and temporary differences between the carrying amounts of assets and liabilities for financial reporting purposes and the amounts used for income tax purposes. The types of temporary differences that give rise to significant portions of the Company’s deferred income tax assets and liabilities are set out below (in thousands):</w:t>
      </w:r>
    </w:p>
    <w:p>
      <w:pPr>
        <w:pStyle w:val="TextBody"/>
        <w:bidi w:val="0"/>
        <w:jc w:val="left"/>
        <w:rPr/>
      </w:pPr>
      <w:r>
        <w:rPr/>
        <w:t> </w:t>
      </w:r>
    </w:p>
    <w:tbl>
      <w:tblPr>
        <w:tblW w:w="7414" w:type="dxa"/>
        <w:jc w:val="left"/>
        <w:tblInd w:w="0" w:type="dxa"/>
        <w:tblLayout w:type="fixed"/>
        <w:tblCellMar>
          <w:top w:w="28" w:type="dxa"/>
          <w:left w:w="28" w:type="dxa"/>
          <w:bottom w:w="28" w:type="dxa"/>
          <w:right w:w="28" w:type="dxa"/>
        </w:tblCellMar>
      </w:tblPr>
      <w:tblGrid>
        <w:gridCol w:w="4651"/>
        <w:gridCol w:w="146"/>
        <w:gridCol w:w="211"/>
        <w:gridCol w:w="736"/>
        <w:gridCol w:w="166"/>
        <w:gridCol w:w="146"/>
        <w:gridCol w:w="211"/>
        <w:gridCol w:w="736"/>
        <w:gridCol w:w="41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174 capitalized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 before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40,432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income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The Company has established a valuation allowance for the amount of deferred tax assets that are not more likely than not to be realized. Management considered all available evidence, both positive and negative, including but not limited to the Company’s historical operating results, income or loss in recent periods, cumulative losses in recent years, forecasted earnings, future taxable income, and significant risk and uncertainty related to forecasts, and concluded the deferred tax assets are not more likely than not to be realized. The net change in the total valuation allowance for the years ended December 31, 2025 and 2024 was an increase of $11.0 million and $20.9 million,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2025, the Company had $45.8 million of federal net operating loss carryforwards and $77.9 million of state net operating loss carryforwards, available to reduce future taxable income. The federal net operating loss carryforwards will carryforward indefinitely. The state net operating loss carryforwards will begin to expire in 2041, if not utilized.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2025, the Company had federal research and development tax credits carryforward of $5.2 million and state research and development tax credits carryforward of $3.7 million, available to reduce future income taxes. The federal research and development tax credits will begin to expire in 2040 if not utilized. The state research and development tax credits have no expiration date.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Internal Revenue Code section 382 (“IRC Section 382”) places a limitation (the “Section 382 Limitation”) on the amount of taxable income that can be offset by net operating loss (“NOL”) carryforwards after a change in control (generally greater than 50% change in ownership) of a loss corporation. California has similar rules. When an ownership change occurs, IRC Section 382 limits the use of NOLs and credits in subsequent periods based on the annual 382 limitations. The annual 382 limitations may limit the full use of available tax attributes in one year but the identified ownership changes may not result in expiration of tax attributes for use prior to expiration of their respective carryforward periods. The Company performed a Section 382 analysis through the year ended December 31, 2024 and determined there were ownership changes in 2021 and 2023. The ownership changes did not result in a reduction of its net operating loss or in its research and development credit carryforwards expiring unused. </w:t>
      </w:r>
    </w:p>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reconciliation of the beginning and ending unrecognized tax benefit amount is as follows (in thousands):</w:t>
      </w:r>
    </w:p>
    <w:p>
      <w:pPr>
        <w:pStyle w:val="TextBody"/>
        <w:bidi w:val="0"/>
        <w:jc w:val="left"/>
        <w:rPr/>
      </w:pPr>
      <w:r>
        <w:rPr/>
        <w:t> </w:t>
      </w:r>
    </w:p>
    <w:tbl>
      <w:tblPr>
        <w:tblW w:w="7226" w:type="dxa"/>
        <w:jc w:val="left"/>
        <w:tblInd w:w="0" w:type="dxa"/>
        <w:tblLayout w:type="fixed"/>
        <w:tblCellMar>
          <w:top w:w="28" w:type="dxa"/>
          <w:left w:w="28" w:type="dxa"/>
          <w:bottom w:w="28" w:type="dxa"/>
          <w:right w:w="28" w:type="dxa"/>
        </w:tblCellMar>
      </w:tblPr>
      <w:tblGrid>
        <w:gridCol w:w="4736"/>
        <w:gridCol w:w="146"/>
        <w:gridCol w:w="231"/>
        <w:gridCol w:w="625"/>
        <w:gridCol w:w="181"/>
        <w:gridCol w:w="160"/>
        <w:gridCol w:w="231"/>
        <w:gridCol w:w="625"/>
        <w:gridCol w:w="291"/>
      </w:tblGrid>
      <w:tr>
        <w:trPr/>
        <w:tc>
          <w:tcPr>
            <w:tcW w:w="4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Additions based on tax positions related to current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Adjustment based on tax positions related to prior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The reversal of the uncertain tax benefits would not impact the Company’s effective tax rate as the Company continues to maintain a full valuation allowance against its deferred tax assets.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recognizes interest and penalties related to uncertain tax positions in income tax expense. During the years ended December 31, 2025 and 2024, the Company did not recognize accrued interest and penalties related to unrecognized tax benefits.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files income taxes in the U.S. federal jurisdiction, the state of California and various other U.S. states. The Company is not currently under examination by income tax authorities in federal, state or other jurisdictions. All income tax returns will remain open for examination by the federal, state and foreign authorities for three or four years, from the date of utilization of any NOLs or credits.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Related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Third Rock Ventures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year ended December 31, 2024, the Company issued a total of 12.4 million shares of its Series B Convertible Preferred Stock to Third Rock Ventures VI, L.P., a holder of more than 5% of the Company’s outstanding capital stock, during the second tranche closing in May 2024, for cash proceeds of $15.3 million. These shares were converted to shares of the Company's common stock upon the consummation of its IPO in October 2024. No shares were issued during the year ended December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August 2021, the Company entered into a service agreement with Third Rock Ventures, LLC (“TRV”), a holder of more than 5% of the Company’s outstanding capital stock, (the “TRV service agreement”) under which TRV provides consulting services to the Company. For the year ended December 31, 2024, the Company recorded expense of $0.3 million for such services as general and administrative expenses in the Company’s statements of operations and comprehensive loss. As of December 31, 2024, $0.1 million of expense related to TRV was recorded in accrued expenses and other current liabilities. There was no expense recorded in accrued expenses and other current liabilities and no outstanding accounts payable to TRV at December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Company's former interim Chief Medical Officer, and also a current member of the Company's board of directors, was designated to the Company's board of directors by TRV and is affiliated with TRV. He did not receive any cash compensation from the Company for his service as its interim Chief Medical Officer as his services were provided to the Company through the TRV service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 the total fees the Company incurred under the TRV service agreement for the year ended December 31, 2024, $0.2 million was attributed to consulting services provided by the board member. Additionally, as compensation for his services as the Company's interim Chief Medical Officer, the Company granted him options to purchase 23,227 shares during the year ended December 31, 2024 at the exercise price of $2.76 per share. The board member ceased serving as interim Chief Medical Officer in September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2024, the Company entered into a separate consulting agreement with the board member, under which he may provide up to $9,500 of consulting services per month, which are also provided to the Company through the TRV service agreement. For the year ended December 31, 2025, the Company recorded expense of $0.1 million for such consulting services. As of December 31, 2025, there was a minimal expense recorded in accrued expenses and other current liabilities and a minimal outstanding accounts payable to the board member.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RA Capital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year ended December 31, 2024, the Company issued a total of 12.2 million shares of its Series B Convertible Preferred Stock to entities affiliated with RA Capital Management, L.P. (collectively, “RA Capital”), which held more than 5% of the Company’s outstanding capital stock, during the second tranche closing in May 2024, for total cash proceeds of $15.0 million. These shares were </w:t>
      </w:r>
    </w:p>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converted to shares of the Company's common stock upon the consummation of its IPO in October 2024. No shares were issued during the year ended December 31,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Samsara BioCapital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year ended December 31, 2024, the Company issued a total of 4.3 million shares of its Series B Convertible Preferred Stock to Samsara BioCapital, L.P. (“Samsara BioCapital”), a holder of more than 5% of the Company’s outstanding capital stock, during the second tranche closing in May 2024, for cash proceeds of $5.2 million. These shares were converted to shares of the Company's common stock upon the consummation of its IPO in October 2024. No shares were issued during the year ended December 31, 2025.</w:t>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 Net 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had 4,554,420 shares of potentially dilutive securities, comprised of 4,378,484 outstanding stock options, 131,224 unvested restricted stock awards subject to repurchase, and 44,712 shares issuable under the ESPP, not included in the calculation of diluted net loss per share for the year ended December 31, 2025 because to do so would be anti-dilutive.</w:t>
      </w:r>
    </w:p>
    <w:p>
      <w:pPr>
        <w:pStyle w:val="TextBody"/>
        <w:bidi w:val="0"/>
        <w:spacing w:before="120" w:after="283"/>
        <w:jc w:val="both"/>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14. Employee Retirement Benefit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maintains a 401(k) retirement savings plan (the “401(k) Plan”) for its employees. The 401(k) Plan allows eligible employees to make contributions up to the maximum allowable by the Internal Revenue Service (“IRS”). For the years ended December 31, 2025 and 2024, the Company made matching contributions of and recorded contribution expenses of $0.5 million and $0.2 million, respectively.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 Segment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CODM assesses performance for the Company’s operating segment and decides how to allocate resources based on the Company’s available cash resources. Total operating expenses and net loss of the Company’s operating segment are used to monitor budget versus actual results. The measure of segment assets is reported as total assets on the Company’s balance sheet.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CODM is regularly provided with the following significant segment expenses:</w:t>
      </w:r>
    </w:p>
    <w:tbl>
      <w:tblPr>
        <w:tblW w:w="8054" w:type="dxa"/>
        <w:jc w:val="left"/>
        <w:tblInd w:w="0" w:type="dxa"/>
        <w:tblLayout w:type="fixed"/>
        <w:tblCellMar>
          <w:top w:w="28" w:type="dxa"/>
          <w:left w:w="28" w:type="dxa"/>
          <w:bottom w:w="28" w:type="dxa"/>
          <w:right w:w="28" w:type="dxa"/>
        </w:tblCellMar>
      </w:tblPr>
      <w:tblGrid>
        <w:gridCol w:w="5446"/>
        <w:gridCol w:w="146"/>
        <w:gridCol w:w="211"/>
        <w:gridCol w:w="781"/>
        <w:gridCol w:w="166"/>
        <w:gridCol w:w="146"/>
        <w:gridCol w:w="211"/>
        <w:gridCol w:w="736"/>
        <w:gridCol w:w="211"/>
      </w:tblGrid>
      <w:tr>
        <w:trPr/>
        <w:tc>
          <w:tcPr>
            <w:tcW w:w="5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expenses, excluding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non-financial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81,898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(72,296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(71,798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Other segment expenses include facility related and office costs, information technology costs, general laboratory costs, and other operating expenses.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2025 and 2024, all of the Company’s property and equipment was maintained in the U.S. For each of the years ended December 31, 2025 and 2024, the Company’s revenue was generated from providing research services and was earned in the U.S.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16.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8, 2026, the Company appointed Mark A. Wilson as Chief Legal Officer. </w:t>
      </w:r>
    </w:p>
    <w:p>
      <w:pPr>
        <w:pStyle w:val="TextBody"/>
        <w:bidi w:val="0"/>
        <w:spacing w:before="120" w:after="283"/>
        <w:jc w:val="both"/>
        <w:rPr/>
      </w:pPr>
      <w:r>
        <w:rPr/>
        <w:t> </w:t>
      </w:r>
    </w:p>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F-32</w:t>
      </w:r>
    </w:p>
    <w:p>
      <w:pPr>
        <w:pStyle w:val="HorizontalLine"/>
        <w:pBdr>
          <w:bottom w:val="double" w:sz="2" w:space="0" w:color="808080"/>
        </w:pBdr>
        <w:bidi w:val="0"/>
        <w:spacing w:before="0" w:after="283"/>
        <w:jc w:val="left"/>
        <w:rPr/>
      </w:pPr>
      <w:r>
        <w:rPr/>
      </w:r>
    </w:p>
    <w:p>
      <w:pPr>
        <w:pStyle w:val="TextBody"/>
        <w:bidi w:val="0"/>
        <w:jc w:val="left"/>
        <w:rPr/>
      </w:pPr>
      <w:bookmarkStart w:id="39" w:name="sepn-ex4_3.htm"/>
      <w:bookmarkStart w:id="40" w:name="kssepnex4_3"/>
      <w:bookmarkEnd w:id="39"/>
      <w:bookmarkEnd w:id="40"/>
      <w:r>
        <w:rPr/>
        <w:t> </w:t>
      </w:r>
      <w:r>
        <w:br w:type="page"/>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4.3</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Description of the Registrant’s Securities Registered Pursuant to Section 12 of the Securities Exchange Act of 1934, As Amended</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The following summary of the general terms and provisions of the registered securities of Septerna, Inc. (“Septerna,” “we,” “us” and “our”) does not purport to be complete and is subject to, and qualified in its entirety by, reference to our amended and restated certificate of incorporation (“certificate of incorporation”), our amended and restated bylaws (“bylaws”), each of which is incorporated by reference as an exhibit to the Annual Report on Form 10-K of which this Exhibit 4.3 is a part, and applicable provisions of the Delaware General Corporation Law (the “DGCL”). We encourage you to read our certificate of incorporation and bylaws, and the applicable provisions of the DGCL.</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Our common stock, par value $0.001 per share is registered pursuant to Section 12(b) of the Securities and Exchange Act of 1934 and trades on The Nasdaq Global Market under the symbol SEPN. The summaries below do not purport to be complete statements of the relevant provisions of the certificate of incorporation, the bylaws or the DGCL.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General</w:t>
      </w:r>
    </w:p>
    <w:p>
      <w:pPr>
        <w:pStyle w:val="TextBody"/>
        <w:bidi w:val="0"/>
        <w:spacing w:before="0" w:after="240"/>
        <w:jc w:val="both"/>
        <w:rPr>
          <w:rFonts w:ascii="Times New Roman" w:hAnsi="Times New Roman"/>
          <w:sz w:val="20"/>
        </w:rPr>
      </w:pPr>
      <w:r>
        <w:rPr>
          <w:rFonts w:ascii="Times New Roman" w:hAnsi="Times New Roman"/>
          <w:color w:val="000000"/>
          <w:sz w:val="24"/>
        </w:rPr>
        <w:t>Our authorized capital stock consists of 500,000,000 shares of common stock, par value $0.001 per share (“common stock”), and 10,000,000 shares of preferred stock, par value $0.001 per share (“preferred stock”), all of which shares of preferred stock are undesignated.</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Common Stock</w:t>
      </w:r>
    </w:p>
    <w:p>
      <w:pPr>
        <w:pStyle w:val="TextBody"/>
        <w:bidi w:val="0"/>
        <w:spacing w:before="0" w:after="240"/>
        <w:jc w:val="both"/>
        <w:rPr>
          <w:rFonts w:ascii="Times New Roman" w:hAnsi="Times New Roman"/>
          <w:sz w:val="20"/>
        </w:rPr>
      </w:pPr>
      <w:r>
        <w:rPr>
          <w:rFonts w:ascii="Times New Roman" w:hAnsi="Times New Roman"/>
          <w:color w:val="000000"/>
          <w:sz w:val="24"/>
        </w:rPr>
        <w:t>Only our common stock is registered under Section 12 of the Securities Exchange Act of 1934, as amended (the “Exchange Act”).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of our liquidation, dissolution or winding up, holders of our common stock will be entitled to share ratably in all assets remaining after payment of all debts and other liabilities and any liquidation preference of any outstanding preferred stock. All of our outstanding shares of common stock are validly issued, fully paid and non-assessable.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Undesignated Preferred Stock</w:t>
      </w:r>
    </w:p>
    <w:p>
      <w:pPr>
        <w:pStyle w:val="TextBody"/>
        <w:bidi w:val="0"/>
        <w:spacing w:before="0" w:after="240"/>
        <w:jc w:val="both"/>
        <w:rPr>
          <w:rFonts w:ascii="Times New Roman" w:hAnsi="Times New Roman"/>
          <w:sz w:val="20"/>
        </w:rPr>
      </w:pPr>
      <w:r>
        <w:rPr>
          <w:rFonts w:ascii="Times New Roman" w:hAnsi="Times New Roman"/>
          <w:color w:val="000000"/>
          <w:sz w:val="24"/>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We have no shares of preferred stock outstanding, and we have no present plan to issue any shares of preferred stock.</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Registration Rights</w:t>
      </w:r>
    </w:p>
    <w:p>
      <w:pPr>
        <w:pStyle w:val="TextBody"/>
        <w:bidi w:val="0"/>
        <w:spacing w:before="0" w:after="240"/>
        <w:jc w:val="both"/>
        <w:rPr>
          <w:rFonts w:ascii="Times New Roman" w:hAnsi="Times New Roman"/>
          <w:sz w:val="20"/>
        </w:rPr>
      </w:pPr>
      <w:r>
        <w:rPr>
          <w:rFonts w:ascii="Times New Roman" w:hAnsi="Times New Roman"/>
          <w:color w:val="000000"/>
          <w:sz w:val="24"/>
        </w:rPr>
        <w:t>Certain holders of our common stock are entitled to rights with respect to the registration of these securities under the Securities Act of 1933, as amended (the “Securities Act”). These shares are referred to as registrable securities. These rights are provided under the terms of our amended and restated investors’ rights agreement, dated June 28, 2023 (“investors’ rights agreement”), and are described in additional detail below. The investors’ rights agreement includes demand registration rights, short-form registration rights and piggyback registration rights. All fees, costs and expenses of underwritten registrations under this agreement will be borne by us. All selling expenses, including underwriting discounts and selling commissions, will be borne by the holders of the shares being registered.</w:t>
      </w:r>
      <w:r>
        <w:rPr>
          <w:rFonts w:ascii="Times New Roman" w:hAnsi="Times New Roman"/>
          <w:color w:val="000000"/>
          <w:sz w:val="20"/>
        </w:rPr>
        <w:t xml:space="preserve"> </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Demand Registration Rights</w:t>
      </w:r>
    </w:p>
    <w:p>
      <w:pPr>
        <w:pStyle w:val="TextBody"/>
        <w:bidi w:val="0"/>
        <w:spacing w:before="0" w:after="240"/>
        <w:jc w:val="both"/>
        <w:rPr>
          <w:rFonts w:ascii="Times New Roman" w:hAnsi="Times New Roman"/>
          <w:sz w:val="20"/>
        </w:rPr>
      </w:pPr>
      <w:r>
        <w:rPr>
          <w:rFonts w:ascii="Times New Roman" w:hAnsi="Times New Roman"/>
          <w:color w:val="000000"/>
          <w:sz w:val="24"/>
        </w:rPr>
        <w:t>Certain holders of our common stock are entitled to demand registration rights. Under the terms of the investors’ rights agreement, upon the written request of stockholders holding at least 25% of the securities eligible for registration then outstanding to file a registration statement with respect to at least 25% of the securities eligible for registration then outstanding, having an anticipated aggregate offering price, net of related fees and expenses, of at least $5.0 million, we will be required to file a registration statement within 60 days of such request covering all securities eligible for registration that our stockholders request to be included in such registration. We are not required to effect any registration pursuant to this provision of the investor rights agreement (a) during the period that is estimated to be 60 days before and 180 days after the effective date of a registration statement that we initiate, (b) if we have already effected two registrations pursuant to such requests for registration on Form S-1 or (c) if the initiating holders propose to register securities that may be immediately registered on Form S-3. The right to have such shares registered on Form S-1 is further subject to other specified conditions and limitations.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i/>
          <w:color w:val="000000"/>
          <w:sz w:val="24"/>
        </w:rPr>
        <w:t>Short-form registration rights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Certain holders of our common stock are entitled to short-form registration rights. Pursuant to the investor rights agreement, if we are eligible to file a registration statement on Form S-3, upon the written request of stockholders holding at least 10% of the securities eligible for registration then outstanding to file a registration statement with respect to securities having an anticipated aggregate offering price, net of related fees and expenses, of at least $1.0 million, we will be required to file a Form S-3 registration statement within 45 days of such request covering all securities eligible for registration that our stockholders request to be included in such registration. We are not required to effect any registration pursuant to this provision of the investor rights agreement (a) during the period that is estimated to be 30 days before and 90 days after the effective date of a registration statement that we initiate or (b) if we have already effected two registrations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pursuant to such requests for registration on Form S-3 within the twelve month period immediately preceding the date of such request. The right to have such shares registered on Form S-3 is further subject to other specified conditions and limitations.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i/>
          <w:color w:val="000000"/>
          <w:sz w:val="24"/>
        </w:rPr>
        <w:t>Piggyback registration rights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Certain holders of our common stock are entitled to piggyback registration rights. Pursuant to the investor rights agreement, if we register any of our securities either for our own account or for the account of other security holders, the holders of our common stock, including common stock issuable upon the conversion of our preferred stock, are entitled to include their shares in the registration. Subject to certain exceptions contained in the investor rights agreement, we and the underwriters may limit the number of shares included in the underwritten offering to the number of shares which we and the underwriters determine in our sole discretion will not jeopardize the success of the offering.</w:t>
      </w:r>
    </w:p>
    <w:p>
      <w:pPr>
        <w:pStyle w:val="TextBody"/>
        <w:bidi w:val="0"/>
        <w:spacing w:before="0" w:after="240"/>
        <w:jc w:val="both"/>
        <w:rPr>
          <w:rFonts w:ascii="Times New Roman" w:hAnsi="Times New Roman"/>
          <w:sz w:val="20"/>
        </w:rPr>
      </w:pPr>
      <w:r>
        <w:rPr>
          <w:rFonts w:ascii="Times New Roman" w:hAnsi="Times New Roman"/>
          <w:b/>
          <w:i/>
          <w:color w:val="000000"/>
          <w:sz w:val="24"/>
        </w:rPr>
        <w:t>Indemnification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Our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pStyle w:val="TextBody"/>
        <w:bidi w:val="0"/>
        <w:spacing w:before="0" w:after="240"/>
        <w:jc w:val="both"/>
        <w:rPr>
          <w:rFonts w:ascii="Times New Roman" w:hAnsi="Times New Roman"/>
          <w:sz w:val="20"/>
        </w:rPr>
      </w:pPr>
      <w:r>
        <w:rPr>
          <w:rFonts w:ascii="Times New Roman" w:hAnsi="Times New Roman"/>
          <w:b/>
          <w:i/>
          <w:color w:val="000000"/>
          <w:sz w:val="24"/>
        </w:rPr>
        <w:t>Expiration of registration rights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demand registration rights and short-form registration rights granted under the investors’ rights agreement will terminate on the earliest to occur of (i) the closing of certain liquidation events, (ii) the fifth anniversary of the completion of our initial public offering or (iii) at such time after this offering when the holders’ shares may be sold without restriction pursuant to Rule 144 under the Securities Act or another similar exemption under the Securities Act within a three month period.</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Expenses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Ordinarily, other than underwriting discounts and commissions, we are generally required to pay all expenses incurred by us related to any registration effected pursuant to the exercise of these registration rights. These expenses may include all registration and filing fees, printing expenses, fees and disbursements of our counsel and reasonable fees and disbursements of a counsel for the selling security holders.</w:t>
      </w:r>
    </w:p>
    <w:p>
      <w:pPr>
        <w:pStyle w:val="TextBody"/>
        <w:bidi w:val="0"/>
        <w:spacing w:before="0" w:after="240"/>
        <w:jc w:val="both"/>
        <w:rPr>
          <w:rFonts w:ascii="Times New Roman" w:hAnsi="Times New Roman"/>
          <w:sz w:val="20"/>
        </w:rPr>
      </w:pPr>
      <w:r>
        <w:rPr>
          <w:rFonts w:ascii="Times New Roman" w:hAnsi="Times New Roman"/>
          <w:b/>
          <w:color w:val="000000"/>
          <w:sz w:val="24"/>
        </w:rPr>
        <w:t>Anti-takeover effects of our certificate of incorporation and bylaws and Delaware law</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Some provisions of Delaware law, our certificate of incorporation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Board Composition and Filling Vacancies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Our certificate of incorporation provides for the division of our board of directors into three classes serving staggered three-year terms, with one class being elected each year. Our certificate of incorporation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r>
        <w:rPr>
          <w:rFonts w:ascii="Times New Roman" w:hAnsi="Times New Roman"/>
          <w:color w:val="000000"/>
          <w:sz w:val="20"/>
        </w:rPr>
        <w:t xml:space="preserve"> </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No Written Consent of Stockholders</w:t>
      </w:r>
    </w:p>
    <w:p>
      <w:pPr>
        <w:pStyle w:val="TextBody"/>
        <w:bidi w:val="0"/>
        <w:spacing w:before="0" w:after="240"/>
        <w:jc w:val="both"/>
        <w:rPr>
          <w:rFonts w:ascii="Times New Roman" w:hAnsi="Times New Roman"/>
          <w:sz w:val="20"/>
        </w:rPr>
      </w:pPr>
      <w:r>
        <w:rPr>
          <w:rFonts w:ascii="Times New Roman" w:hAnsi="Times New Roman"/>
          <w:color w:val="000000"/>
          <w:sz w:val="24"/>
        </w:rPr>
        <w:t>Our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r>
        <w:rPr>
          <w:rFonts w:ascii="Times New Roman" w:hAnsi="Times New Roman"/>
          <w:color w:val="000000"/>
          <w:sz w:val="20"/>
        </w:rPr>
        <w:t xml:space="preserve"> </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Meetings of Stockholders</w:t>
      </w:r>
    </w:p>
    <w:p>
      <w:pPr>
        <w:pStyle w:val="TextBody"/>
        <w:bidi w:val="0"/>
        <w:spacing w:before="0" w:after="240"/>
        <w:jc w:val="both"/>
        <w:rPr>
          <w:rFonts w:ascii="Times New Roman" w:hAnsi="Times New Roman"/>
          <w:sz w:val="20"/>
        </w:rPr>
      </w:pPr>
      <w:r>
        <w:rPr>
          <w:rFonts w:ascii="Times New Roman" w:hAnsi="Times New Roman"/>
          <w:color w:val="000000"/>
          <w:sz w:val="24"/>
        </w:rPr>
        <w:t>Our certificate of incorporation and bylaws provide that only a majority of the members of our board of 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r>
        <w:rPr>
          <w:rFonts w:ascii="Times New Roman" w:hAnsi="Times New Roman"/>
          <w:color w:val="000000"/>
          <w:sz w:val="20"/>
        </w:rPr>
        <w:t xml:space="preserve"> </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Advance Notice Requirements</w:t>
      </w:r>
    </w:p>
    <w:p>
      <w:pPr>
        <w:pStyle w:val="TextBody"/>
        <w:bidi w:val="0"/>
        <w:spacing w:before="0" w:after="240"/>
        <w:jc w:val="both"/>
        <w:rPr>
          <w:rFonts w:ascii="Times New Roman" w:hAnsi="Times New Roman"/>
          <w:sz w:val="20"/>
        </w:rPr>
      </w:pPr>
      <w:r>
        <w:rPr>
          <w:rFonts w:ascii="Times New Roman" w:hAnsi="Times New Roman"/>
          <w:color w:val="000000"/>
          <w:sz w:val="24"/>
        </w:rPr>
        <w:t>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r>
        <w:rPr>
          <w:rFonts w:ascii="Times New Roman" w:hAnsi="Times New Roman"/>
          <w:color w:val="000000"/>
          <w:sz w:val="20"/>
        </w:rPr>
        <w:t xml:space="preserve"> </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Amendment to Certificate of Incorporation and Bylaws</w:t>
      </w:r>
    </w:p>
    <w:p>
      <w:pPr>
        <w:pStyle w:val="TextBody"/>
        <w:bidi w:val="0"/>
        <w:spacing w:before="0" w:after="240"/>
        <w:jc w:val="both"/>
        <w:rPr>
          <w:rFonts w:ascii="Times New Roman" w:hAnsi="Times New Roman"/>
          <w:sz w:val="20"/>
        </w:rPr>
      </w:pPr>
      <w:r>
        <w:rPr>
          <w:rFonts w:ascii="Times New Roman" w:hAnsi="Times New Roman"/>
          <w:color w:val="000000"/>
          <w:sz w:val="24"/>
        </w:rPr>
        <w:t>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and limitation of liability must be approved by not less than two-thirds of the outstanding shares entitled to vote on the amendment, and not less than two-thirds of the outstanding shares of each class entitled to vote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thereon as a class. Our bylaws may be amended by the affirmative vote of a majority of the directors then in office, subject to any limitations set forth in the bylaws; and may also be amended by the affirmative vote of a majority of the outstanding shares entitled to vote on the amendment, voting together as a single class, except that the amendment of the provisions relating to notice of stockholder business and nominations and special meetings must be approved by not less than two-thirds of the outstanding shares entitled to vote on the amendment, and not less than two-thirds of the outstanding shares of each class entitled to vote thereon as a class, or, if our board of directors recommends that the stockholders approve the amendment, by the affirmative vote of the majority of the outstanding shares entitled to vote on the amendment, in each case voting together as a single class.</w:t>
      </w:r>
      <w:r>
        <w:rPr>
          <w:rFonts w:ascii="Times New Roman" w:hAnsi="Times New Roman"/>
          <w:color w:val="000000"/>
          <w:sz w:val="20"/>
        </w:rPr>
        <w:t xml:space="preserve"> </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Undesignated Preferred Stock</w:t>
      </w:r>
    </w:p>
    <w:p>
      <w:pPr>
        <w:pStyle w:val="TextBody"/>
        <w:bidi w:val="0"/>
        <w:spacing w:before="0" w:after="240"/>
        <w:jc w:val="both"/>
        <w:rPr>
          <w:rFonts w:ascii="Times New Roman" w:hAnsi="Times New Roman"/>
          <w:sz w:val="20"/>
        </w:rPr>
      </w:pPr>
      <w:r>
        <w:rPr>
          <w:rFonts w:ascii="Times New Roman" w:hAnsi="Times New Roman"/>
          <w:color w:val="000000"/>
          <w:sz w:val="24"/>
        </w:rPr>
        <w:t>Our certificate of incorporation provides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Choice of Forum</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Our bylaws provide that the Court of Chancery of the State of Delaware is the sole and exclusive forum for the following claims or causes of action under the Delaware statutory or common law: (i) any derivative action or proceeding brought on our behalf, (ii) any action asserting a claim of, or a claim based on, a breach of a fiduciary duty owed by any of our current or former directors, officers, or other employees or stockholders to us or our stockholders, (iii) any action asserting a claim arising pursuant to any provision of the Delaware General Corporation Law (“DGCL”) or our certificate of incorporation or bylaws (including the interpretation, validity or enforceability thereof) or as to which the DGCL confers jurisdiction on the Court of Chancery of the State of Delaware, or (iv) any action asserting a claim governed by the internal affairs doctrine.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However, Section 27 of the Exchange Act creates exclusive federal jurisdiction over all claims brought to enforce any duty or liability created by the Exchange Act or the rules and regulations thereunder. Consequently, this choice of forum provision would not apply to claims or causes of action brought to enforce a duty or liability created by the Exchange Act or the Securities Act, or any other claim for which the federal courts have exclusive jurisdiction. Moreover, Section 22 of the Securities Act creates concurrent jurisdiction for federal and state courts over all claims brought to enforce any duty or liability created by the Securities Act or the rules and regulations thereunder.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In addition, our bylaws provide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Additionally, our bylaws provide that any person or entity holding, owning or otherwise acquiring any interest in any of our securities shall be deemed to have notice of and consented to these provisions.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Section 203 of the Delaware General Corporation Law</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We are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r>
        <w:rPr>
          <w:rFonts w:ascii="Times New Roman" w:hAnsi="Times New Roman"/>
          <w:color w:val="000000"/>
          <w:sz w:val="20"/>
        </w:rPr>
        <w:t xml:space="preserve">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 xml:space="preserve">before the stockholder became interested, our board of directors approved either the business combination or the transaction which resulted in the stockholder becoming an interested stockholder;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pStyle w:val="TextBody"/>
        <w:bidi w:val="0"/>
        <w:spacing w:before="0" w:after="240"/>
        <w:jc w:val="both"/>
        <w:rPr>
          <w:rFonts w:ascii="Times New Roman" w:hAnsi="Times New Roman"/>
          <w:sz w:val="20"/>
        </w:rPr>
      </w:pPr>
      <w:r>
        <w:rPr>
          <w:rFonts w:ascii="Times New Roman" w:hAnsi="Times New Roman"/>
          <w:color w:val="000000"/>
          <w:sz w:val="24"/>
        </w:rPr>
        <w:t>Section 203 defines a business combination to include:</w:t>
      </w:r>
      <w:r>
        <w:rPr>
          <w:rFonts w:ascii="Times New Roman" w:hAnsi="Times New Roman"/>
          <w:color w:val="000000"/>
          <w:sz w:val="20"/>
        </w:rPr>
        <w:t xml:space="preserve">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 xml:space="preserve">any merger or consolidation involving the corporation and the interested stockholder;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 xml:space="preserve">any sale, transfer, lease, pledge, or other disposition involving the interested stockholder of 10% or more of the assets of the corporation;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 xml:space="preserve">subject to exceptions, any transaction that results in the issuance or transfer by the corporation of any stock of the corporation to the interested stockholder;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 xml:space="preserve">subject to exceptions, any transaction involving the corporation that has the effect of increasing the proportionate share of the stock of any class or series of the corporation beneficially owned by the interested stockholder; and </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the receipt by the interested stockholder of the benefit of any loans, advances, guarantees, pledges, or other financial benefits provided by or through the corporation.</w:t>
      </w:r>
    </w:p>
    <w:p>
      <w:pPr>
        <w:pStyle w:val="TextBody"/>
        <w:bidi w:val="0"/>
        <w:spacing w:before="0" w:after="240"/>
        <w:jc w:val="both"/>
        <w:rPr>
          <w:rFonts w:ascii="Times New Roman" w:hAnsi="Times New Roman"/>
          <w:sz w:val="20"/>
        </w:rPr>
      </w:pPr>
      <w:r>
        <w:rPr>
          <w:rFonts w:ascii="Times New Roman" w:hAnsi="Times New Roman"/>
          <w:color w:val="000000"/>
          <w:sz w:val="24"/>
        </w:rPr>
        <w:t>In general, Section 203 defines an interested stockholder as any entity or person beneficially owning 15% or more of the outstanding voting stock of the corporation and any entity or person affiliated with or controlling or controlled by the entity or person.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Nasdaq Global Market Listing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Our common stock is currently listed on The Nasdaq Global Market under the trading symbol “SEPN.”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Transfer Agent and Registrar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transfer agent and registrar for our common stock is Computershare Trust Company, N.A.</w:t>
      </w:r>
      <w:r>
        <w:rPr>
          <w:rFonts w:ascii="Times New Roman" w:hAnsi="Times New Roman"/>
          <w:color w:val="000000"/>
          <w:sz w:val="20"/>
        </w:rPr>
        <w:t xml:space="preserve"> </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b/>
          <w:color w:val="000000"/>
          <w:sz w:val="24"/>
        </w:rPr>
      </w:pPr>
      <w:bookmarkStart w:id="41" w:name="sepn-ex10_20.htm"/>
      <w:bookmarkStart w:id="42" w:name="kssepnex10_20"/>
      <w:bookmarkEnd w:id="41"/>
      <w:bookmarkEnd w:id="42"/>
      <w:r>
        <w:rPr>
          <w:rFonts w:ascii="Times New Roman" w:hAnsi="Times New Roman"/>
          <w:b/>
          <w:color w:val="000000"/>
          <w:sz w:val="24"/>
        </w:rPr>
        <w:t>Exhibit 10.20</w:t>
      </w:r>
      <w:r>
        <w:br w:type="page"/>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January 6, 2026</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Mark A. Wilson, JD</w:t>
      </w:r>
    </w:p>
    <w:p>
      <w:pPr>
        <w:pStyle w:val="TextBody"/>
        <w:bidi w:val="0"/>
        <w:jc w:val="left"/>
        <w:rPr>
          <w:rFonts w:ascii="Times New Roman" w:hAnsi="Times New Roman"/>
          <w:sz w:val="20"/>
        </w:rPr>
      </w:pPr>
      <w:r>
        <w:rPr>
          <w:rFonts w:ascii="Times New Roman" w:hAnsi="Times New Roman"/>
          <w:color w:val="000000"/>
          <w:sz w:val="24"/>
        </w:rPr>
        <w:t>1613 Ray Drive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Burlingame, CA 94010</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Re: </w:t>
      </w:r>
      <w:r>
        <w:rPr>
          <w:rFonts w:ascii="Times New Roman" w:hAnsi="Times New Roman"/>
          <w:color w:val="000000"/>
          <w:sz w:val="24"/>
          <w:u w:val="single"/>
        </w:rPr>
        <w:t>Offer of Employment by Septerna, Inc.</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Dear Mark:</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On behalf of Septerna, Inc. (the “Company”), I am pleased to confirm our offer to employ you as our Chief Legal Officer. The initial terms and conditions of your employment, should you accept this offer, are set forth below in this letter agreement (the “Agreement”):</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pPr>
      <w:r>
        <w:rPr>
          <w:rFonts w:ascii="Times New Roman" w:hAnsi="Times New Roman"/>
          <w:b/>
          <w:color w:val="000000"/>
          <w:sz w:val="24"/>
        </w:rPr>
        <w:t>Position</w:t>
      </w:r>
      <w:r>
        <w:rPr>
          <w:rFonts w:ascii="Times New Roman" w:hAnsi="Times New Roman"/>
          <w:color w:val="000000"/>
          <w:sz w:val="24"/>
        </w:rPr>
        <w:t xml:space="preserve">. As Chief Legal Officer of the Company, you will report to Jeff Finer, Chief Executive Officer. This is a full-time, exempt employment position. It is understood and agreed that, while you render services to the Company, you will not engage in any other employment, consulting or other business activities (whether full-time or part-time), except as expressly authorized in writing by the Company’s Chief Executive Officer (the “CEO”). Notwithstanding the foregoing, you may engage in religious, charitable and other community activities so long as such activities do not interfere or conflict with your obligations to the Company. </w:t>
      </w:r>
    </w:p>
    <w:p>
      <w:pPr>
        <w:pStyle w:val="TextBody"/>
        <w:bidi w:val="0"/>
        <w:jc w:val="both"/>
        <w:rPr/>
      </w:pPr>
      <w:r>
        <w:rPr/>
        <w:t> </w:t>
      </w:r>
    </w:p>
    <w:p>
      <w:pPr>
        <w:pStyle w:val="TextBody"/>
        <w:bidi w:val="0"/>
        <w:jc w:val="both"/>
        <w:rPr/>
      </w:pPr>
      <w:r>
        <w:rPr>
          <w:rFonts w:ascii="Times New Roman" w:hAnsi="Times New Roman"/>
          <w:b/>
          <w:color w:val="000000"/>
          <w:sz w:val="24"/>
        </w:rPr>
        <w:t>2. Start Date</w:t>
      </w:r>
      <w:r>
        <w:rPr>
          <w:rFonts w:ascii="Times New Roman" w:hAnsi="Times New Roman"/>
          <w:color w:val="000000"/>
          <w:sz w:val="24"/>
        </w:rPr>
        <w:t xml:space="preserve">. Your employment with the Company will begin on January 5, 2026, unless another date is agreed to by you and the Company. The actual first day of your employment with the Company shall be referred to herein as the “Start Date.” </w:t>
      </w:r>
    </w:p>
    <w:p>
      <w:pPr>
        <w:pStyle w:val="TextBody"/>
        <w:bidi w:val="0"/>
        <w:jc w:val="both"/>
        <w:rPr>
          <w:rFonts w:ascii="Times New Roman" w:hAnsi="Times New Roman"/>
          <w:b/>
          <w:color w:val="000000"/>
          <w:sz w:val="24"/>
        </w:rPr>
      </w:pPr>
      <w:r>
        <w:rPr>
          <w:rFonts w:ascii="Times New Roman" w:hAnsi="Times New Roman"/>
          <w:b/>
          <w:color w:val="000000"/>
          <w:sz w:val="24"/>
        </w:rPr>
        <w:t>3. Compensation and Related Matters.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b/>
          <w:color w:val="000000"/>
          <w:sz w:val="24"/>
        </w:rPr>
        <w:t>Base Salary.</w:t>
      </w:r>
      <w:r>
        <w:rPr>
          <w:color w:val="000000"/>
        </w:rPr>
        <w:t xml:space="preserve"> </w:t>
      </w:r>
      <w:r>
        <w:rPr>
          <w:rFonts w:ascii="Times New Roman" w:hAnsi="Times New Roman"/>
          <w:color w:val="000000"/>
          <w:sz w:val="24"/>
        </w:rPr>
        <w:t>The Company will pay you an initial base salary at the rate of $450,000.00 per year, payable in accordance with the Company’s standard payroll schedule and subject to applicable deductions and withholdings. Your base salary will be subject to periodic review and adjustments at the Company’s discretion. Your base salary in effect at any given time is referred to herein as the “</w:t>
      </w:r>
      <w:r>
        <w:rPr>
          <w:rFonts w:ascii="Times New Roman" w:hAnsi="Times New Roman"/>
          <w:color w:val="000000"/>
          <w:sz w:val="24"/>
          <w:u w:val="single"/>
        </w:rPr>
        <w:t>Base Salary</w:t>
      </w:r>
      <w:r>
        <w:rPr>
          <w:rFonts w:ascii="Times New Roman" w:hAnsi="Times New Roman"/>
          <w:color w:val="000000"/>
          <w:sz w:val="24"/>
        </w:rPr>
        <w: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rFonts w:ascii="Times New Roman" w:hAnsi="Times New Roman"/>
          <w:b/>
          <w:color w:val="000000"/>
          <w:sz w:val="24"/>
        </w:rPr>
        <w:t xml:space="preserve">Annual Bonus. </w:t>
      </w:r>
      <w:r>
        <w:rPr>
          <w:rFonts w:ascii="Times New Roman" w:hAnsi="Times New Roman"/>
          <w:color w:val="000000"/>
          <w:sz w:val="24"/>
        </w:rPr>
        <w:t>You will initially be eligible to receive an annual performance bonus of up to 40% of your Base Salary. The target annual bonus in effect at any given time is referred to herein as “</w:t>
      </w:r>
      <w:r>
        <w:rPr>
          <w:rFonts w:ascii="Times New Roman" w:hAnsi="Times New Roman"/>
          <w:color w:val="000000"/>
          <w:sz w:val="24"/>
          <w:u w:val="single"/>
        </w:rPr>
        <w:t>Target Bonus</w:t>
      </w:r>
      <w:r>
        <w:rPr>
          <w:rFonts w:ascii="Times New Roman" w:hAnsi="Times New Roman"/>
          <w:color w:val="000000"/>
          <w:sz w:val="24"/>
        </w:rPr>
        <w:t xml:space="preserve">.” The actual bonus amount is discretionary. To earn an annual performance bonus, you must be employed by the Company as of the payment date of such bonus. Any annual performance bonus will be paid no later than March 15th of the calendar year following the calendar year to which such bonus relates. Employees who commence employment with the Company on or after November 1 will not be eligible to receive a prorated annual bonus, annual merit increase, or annual equity award for that calendar year. You will be eligible for the Company’s annual compensation review cycle for your subsequent calendar year of service subject to the terms and conditions of the Company’s compensation plans, policies, and practices (as such may be amended from time to time).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0"/>
        <w:jc w:val="both"/>
        <w:rPr/>
      </w:pPr>
      <w:r>
        <w:rPr>
          <w:rFonts w:ascii="Times New Roman" w:hAnsi="Times New Roman"/>
          <w:b/>
          <w:color w:val="000000"/>
          <w:sz w:val="24"/>
        </w:rPr>
        <w:t>Benefits/Flexible Time Off</w:t>
      </w:r>
      <w:r>
        <w:rPr>
          <w:rFonts w:ascii="Times New Roman" w:hAnsi="Times New Roman"/>
          <w:color w:val="000000"/>
          <w:sz w:val="24"/>
        </w:rPr>
        <w:t>. You will be eligible, subject to the terms of the</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applicable plans and programs, to participate in the employee benefits and insurance programs</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generally made available to the Company’s full-time employees. Details of such benefits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programs, including mandatory employee contributions, if any, and waiting periods, if applicable, will be made available to you as and when such benefit(s) become available. You will be entitled to flexible time off consistent with the terms of the Company’s paid time off policy, as in effect from time to time. The Company reserves the right to modify, amend or cancel any of its benefits plans or programs at any time. </w:t>
      </w:r>
    </w:p>
    <w:p>
      <w:pPr>
        <w:pStyle w:val="TextBody"/>
        <w:bidi w:val="0"/>
        <w:spacing w:before="0" w:after="0"/>
        <w:jc w:val="both"/>
        <w:rPr/>
      </w:pPr>
      <w:r>
        <w:rPr>
          <w:rFonts w:ascii="Times New Roman" w:hAnsi="Times New Roman"/>
          <w:color w:val="000000"/>
          <w:sz w:val="24"/>
        </w:rPr>
        <w:t xml:space="preserve">(d) </w:t>
      </w:r>
      <w:r>
        <w:rPr>
          <w:rFonts w:ascii="Times New Roman" w:hAnsi="Times New Roman"/>
          <w:b/>
          <w:color w:val="000000"/>
          <w:sz w:val="24"/>
        </w:rPr>
        <w:t>Expenses</w:t>
      </w:r>
      <w:r>
        <w:rPr>
          <w:rFonts w:ascii="Times New Roman" w:hAnsi="Times New Roman"/>
          <w:color w:val="000000"/>
          <w:sz w:val="24"/>
        </w:rPr>
        <w:t>. The Company will promptly reimburse you for all reasonable expenses</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incurred by you in performing services hereunder, in accordance with the policies and procedures then in effect and established by the Company for its executives. The Company will reimburse you for professional license annual maintenance fee costs actually incurred by you upon presentation of reasonable documentation for such costs.</w:t>
      </w:r>
    </w:p>
    <w:p>
      <w:pPr>
        <w:pStyle w:val="TextBody"/>
        <w:bidi w:val="0"/>
        <w:spacing w:before="0" w:after="0"/>
        <w:jc w:val="both"/>
        <w:rPr/>
      </w:pPr>
      <w:r>
        <w:rPr>
          <w:rFonts w:ascii="Times New Roman" w:hAnsi="Times New Roman"/>
          <w:b/>
          <w:color w:val="000000"/>
          <w:sz w:val="24"/>
        </w:rPr>
        <w:t>4. Equity Grant.</w:t>
      </w:r>
      <w:r>
        <w:rPr>
          <w:color w:val="000000"/>
        </w:rPr>
        <w:t xml:space="preserve"> </w:t>
      </w:r>
      <w:r>
        <w:rPr>
          <w:rFonts w:ascii="Times New Roman" w:hAnsi="Times New Roman"/>
          <w:color w:val="000000"/>
          <w:sz w:val="24"/>
        </w:rPr>
        <w:t>Subject to approval by the Company’s board of directors (the “</w:t>
      </w:r>
      <w:r>
        <w:rPr>
          <w:rFonts w:ascii="Times New Roman" w:hAnsi="Times New Roman"/>
          <w:color w:val="000000"/>
          <w:sz w:val="24"/>
          <w:u w:val="single"/>
        </w:rPr>
        <w:t>Board</w:t>
      </w:r>
      <w:r>
        <w:rPr>
          <w:color w:val="000000"/>
        </w:rPr>
        <w:t>”</w:t>
      </w:r>
      <w:r>
        <w:rPr>
          <w:rFonts w:ascii="Times New Roman" w:hAnsi="Times New Roman"/>
          <w:color w:val="000000"/>
          <w:sz w:val="24"/>
        </w:rPr>
        <w:t>) or</w:t>
      </w:r>
    </w:p>
    <w:p>
      <w:pPr>
        <w:pStyle w:val="TextBody"/>
        <w:bidi w:val="0"/>
        <w:spacing w:before="0" w:after="0"/>
        <w:jc w:val="both"/>
        <w:rPr/>
      </w:pPr>
      <w:r>
        <w:rPr>
          <w:rFonts w:ascii="Times New Roman" w:hAnsi="Times New Roman"/>
          <w:color w:val="000000"/>
          <w:sz w:val="24"/>
        </w:rPr>
        <w:t>compensation committee thereof (the “</w:t>
      </w:r>
      <w:r>
        <w:rPr>
          <w:rFonts w:ascii="Times New Roman" w:hAnsi="Times New Roman"/>
          <w:color w:val="000000"/>
          <w:sz w:val="24"/>
          <w:u w:val="single"/>
        </w:rPr>
        <w:t>Compensation Committee</w:t>
      </w:r>
      <w:r>
        <w:rPr>
          <w:color w:val="000000"/>
        </w:rPr>
        <w:t>”</w:t>
      </w:r>
      <w:r>
        <w:rPr>
          <w:rFonts w:ascii="Times New Roman" w:hAnsi="Times New Roman"/>
          <w:color w:val="000000"/>
          <w:sz w:val="24"/>
        </w:rPr>
        <w:t>), you will be granted an option to purchase 165,000 shares of the Company’s common stock (the “Stock Option Grant”). The per share exercise price for the Stock Option Grant will be equal to the closing market price on the Nasdaq Global Market of one share of the Company’s common stock on the date of grant (i.e., the fifth trading day of the month following the later of (i) the Start Date or (ii) the date on which such grant is approved by the Board or the Compensation Committee. The Stock Option Grant will be governed by the terms and conditions of the Company’s 2024 Stock Option and Incentive Plan, as amended from time to time, along with the applicable stock option agreement for the Stock Option Grant (collectively, the “</w:t>
      </w:r>
      <w:r>
        <w:rPr>
          <w:rFonts w:ascii="Times New Roman" w:hAnsi="Times New Roman"/>
          <w:color w:val="000000"/>
          <w:sz w:val="24"/>
          <w:u w:val="single"/>
        </w:rPr>
        <w:t>Equity Documents</w:t>
      </w:r>
      <w:r>
        <w:rPr>
          <w:color w:val="000000"/>
        </w:rPr>
        <w:t>”</w:t>
      </w:r>
      <w:r>
        <w:rPr>
          <w:rFonts w:ascii="Times New Roman" w:hAnsi="Times New Roman"/>
          <w:color w:val="000000"/>
          <w:sz w:val="24"/>
        </w:rPr>
        <w:t>). You will be required to execute/accept the Equity Documents as a condition for receiving the Stock Option Grant. The Stock Option Grant will vest according to the following schedule: 25% of the underlying shares will vest on the first anniversary of your Start Date, with an additional 2.08334% of the underlying shares vesting monthly over the subsequent thirty-six months, subject in each case to your continued employment with the Company on each applicable vesting date, resulting in full vesting of the Stock Option Grant on the fourth anniversary of your Start Date.</w:t>
      </w:r>
    </w:p>
    <w:p>
      <w:pPr>
        <w:pStyle w:val="TextBody"/>
        <w:bidi w:val="0"/>
        <w:spacing w:before="0" w:after="0"/>
        <w:jc w:val="both"/>
        <w:rPr/>
      </w:pPr>
      <w:r>
        <w:rPr>
          <w:rFonts w:ascii="Times New Roman" w:hAnsi="Times New Roman"/>
          <w:b/>
          <w:color w:val="000000"/>
          <w:sz w:val="24"/>
        </w:rPr>
        <w:t>5. Location.</w:t>
      </w:r>
      <w:r>
        <w:rPr>
          <w:color w:val="000000"/>
        </w:rPr>
        <w:t xml:space="preserve"> </w:t>
      </w:r>
      <w:r>
        <w:rPr>
          <w:rFonts w:ascii="Times New Roman" w:hAnsi="Times New Roman"/>
          <w:color w:val="000000"/>
          <w:sz w:val="24"/>
        </w:rPr>
        <w:t>Your primary work location will be at the Company’s office which is currently</w:t>
      </w:r>
    </w:p>
    <w:p>
      <w:pPr>
        <w:pStyle w:val="TextBody"/>
        <w:bidi w:val="0"/>
        <w:spacing w:before="0" w:after="0"/>
        <w:jc w:val="both"/>
        <w:rPr/>
      </w:pPr>
      <w:r>
        <w:rPr>
          <w:rFonts w:ascii="Times New Roman" w:hAnsi="Times New Roman"/>
          <w:color w:val="000000"/>
          <w:sz w:val="24"/>
        </w:rPr>
        <w:t xml:space="preserve">in South San Francisco, California, </w:t>
      </w:r>
      <w:r>
        <w:rPr>
          <w:rFonts w:ascii="Times New Roman" w:hAnsi="Times New Roman"/>
          <w:i/>
          <w:color w:val="000000"/>
          <w:sz w:val="24"/>
        </w:rPr>
        <w:t>provided</w:t>
      </w:r>
      <w:r>
        <w:rPr>
          <w:color w:val="000000"/>
        </w:rPr>
        <w:t xml:space="preserve"> </w:t>
      </w:r>
      <w:r>
        <w:rPr>
          <w:rFonts w:ascii="Times New Roman" w:hAnsi="Times New Roman"/>
          <w:color w:val="000000"/>
          <w:sz w:val="24"/>
        </w:rPr>
        <w:t>that you may be required to travel for business from</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time to time, consistent with the Company’s business needs.</w:t>
      </w:r>
    </w:p>
    <w:p>
      <w:pPr>
        <w:pStyle w:val="TextBody"/>
        <w:bidi w:val="0"/>
        <w:jc w:val="both"/>
        <w:rPr/>
      </w:pPr>
      <w:r>
        <w:rPr>
          <w:rFonts w:ascii="Times New Roman" w:hAnsi="Times New Roman"/>
          <w:b/>
          <w:color w:val="000000"/>
          <w:sz w:val="24"/>
        </w:rPr>
        <w:t>6. Indemnification</w:t>
      </w:r>
      <w:r>
        <w:rPr>
          <w:rFonts w:ascii="Times New Roman" w:hAnsi="Times New Roman"/>
          <w:color w:val="000000"/>
          <w:sz w:val="24"/>
        </w:rPr>
        <w:t>. You will be entitled to enter into the Form of Employee Director/Officer Indemnification Agreement with the Company in substantially the form set forth on Exhibit 10.5 to Amendment No. 1 to the Form S-1 Registration Statement filed by the Company on October 21, 2024.</w:t>
      </w:r>
    </w:p>
    <w:p>
      <w:pPr>
        <w:pStyle w:val="TextBody"/>
        <w:bidi w:val="0"/>
        <w:jc w:val="both"/>
        <w:rPr/>
      </w:pPr>
      <w:r>
        <w:rPr/>
        <w:t> </w:t>
      </w:r>
    </w:p>
    <w:p>
      <w:pPr>
        <w:pStyle w:val="TextBody"/>
        <w:bidi w:val="0"/>
        <w:spacing w:before="0" w:after="0"/>
        <w:jc w:val="both"/>
        <w:rPr/>
      </w:pPr>
      <w:r>
        <w:rPr>
          <w:rFonts w:ascii="Times New Roman" w:hAnsi="Times New Roman"/>
          <w:b/>
          <w:color w:val="000000"/>
          <w:sz w:val="24"/>
        </w:rPr>
        <w:t>7. Termination Benefits.</w:t>
      </w:r>
      <w:r>
        <w:rPr>
          <w:color w:val="000000"/>
        </w:rPr>
        <w:t xml:space="preserve"> </w:t>
      </w:r>
      <w:r>
        <w:rPr>
          <w:rFonts w:ascii="Times New Roman" w:hAnsi="Times New Roman"/>
          <w:color w:val="000000"/>
          <w:sz w:val="24"/>
        </w:rPr>
        <w:t>You will be eligible to participate in the Company’s Executive</w:t>
      </w:r>
    </w:p>
    <w:p>
      <w:pPr>
        <w:pStyle w:val="TextBody"/>
        <w:bidi w:val="0"/>
        <w:spacing w:before="0" w:after="0"/>
        <w:jc w:val="both"/>
        <w:rPr/>
      </w:pPr>
      <w:r>
        <w:rPr>
          <w:rFonts w:ascii="Times New Roman" w:hAnsi="Times New Roman"/>
          <w:color w:val="000000"/>
          <w:sz w:val="24"/>
        </w:rPr>
        <w:t>Severance Plan, as amended from time to time (the “</w:t>
      </w:r>
      <w:r>
        <w:rPr>
          <w:rFonts w:ascii="Times New Roman" w:hAnsi="Times New Roman"/>
          <w:color w:val="000000"/>
          <w:sz w:val="24"/>
          <w:u w:val="single"/>
        </w:rPr>
        <w:t>Executive Severance Plan</w:t>
      </w:r>
      <w:r>
        <w:rPr>
          <w:color w:val="000000"/>
        </w:rPr>
        <w:t>”</w:t>
      </w:r>
      <w:r>
        <w:rPr>
          <w:rFonts w:ascii="Times New Roman" w:hAnsi="Times New Roman"/>
          <w:color w:val="000000"/>
          <w:sz w:val="24"/>
        </w:rPr>
        <w:t>) as a “Tier 2</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Executive” (as defined in the Executive Severance Plan). Your participation in the Executive</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Severance Plan is contingent upon your execution and delivery to the Company of a participation</w:t>
      </w:r>
    </w:p>
    <w:p>
      <w:pPr>
        <w:pStyle w:val="TextBody"/>
        <w:bidi w:val="0"/>
        <w:jc w:val="both"/>
        <w:rPr>
          <w:rFonts w:ascii="Times New Roman" w:hAnsi="Times New Roman"/>
          <w:color w:val="000000"/>
          <w:sz w:val="24"/>
        </w:rPr>
      </w:pPr>
      <w:r>
        <w:rPr>
          <w:rFonts w:ascii="Times New Roman" w:hAnsi="Times New Roman"/>
          <w:color w:val="000000"/>
          <w:sz w:val="24"/>
        </w:rPr>
        <w:t xml:space="preserve">agreement thereunder. All matters relating to the termination of your employment with theCompany, including eligibility for any severance payments in connection with such termination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color w:val="000000"/>
          <w:sz w:val="24"/>
        </w:rPr>
      </w:pPr>
      <w:r>
        <w:rPr>
          <w:rFonts w:ascii="Times New Roman" w:hAnsi="Times New Roman"/>
          <w:color w:val="000000"/>
          <w:sz w:val="24"/>
        </w:rPr>
        <w:t>of employment, shall be governed by the terms and conditions set forth in the Executive Severance Plan.</w:t>
      </w:r>
    </w:p>
    <w:p>
      <w:pPr>
        <w:pStyle w:val="TextBody"/>
        <w:bidi w:val="0"/>
        <w:jc w:val="both"/>
        <w:rPr/>
      </w:pPr>
      <w:r>
        <w:rPr>
          <w:rFonts w:ascii="Times New Roman" w:hAnsi="Times New Roman"/>
          <w:b/>
          <w:color w:val="000000"/>
          <w:sz w:val="24"/>
        </w:rPr>
        <w:t>8. At-Will Employment; Date of Termination.</w:t>
      </w:r>
      <w:r>
        <w:rPr>
          <w:color w:val="000000"/>
        </w:rPr>
        <w:t xml:space="preserve"> </w:t>
      </w:r>
      <w:r>
        <w:rPr>
          <w:rFonts w:ascii="Times New Roman" w:hAnsi="Times New Roman"/>
          <w:color w:val="000000"/>
          <w:sz w:val="24"/>
        </w:rPr>
        <w:t>At all times your employment is “at will,” meaning you or the Company may terminate it at any time for any or no reason, subject to the terms of this Agreement. Although your job duties, title, reporting structure, compensation and benefits, as well as the Company’s benefit plans and personnel policies and procedures, may change from time to time, the “at will” nature of your employment may only be changed in an express written agreement signed by you and the CEO. Your last day of employment for any reason is referred to herein as the “</w:t>
      </w:r>
      <w:r>
        <w:rPr>
          <w:rFonts w:ascii="Times New Roman" w:hAnsi="Times New Roman"/>
          <w:color w:val="000000"/>
          <w:sz w:val="24"/>
          <w:u w:val="single"/>
        </w:rPr>
        <w:t>Date of Termination</w:t>
      </w:r>
      <w:r>
        <w:rPr>
          <w:rFonts w:ascii="Times New Roman" w:hAnsi="Times New Roman"/>
          <w:color w:val="000000"/>
          <w:sz w:val="24"/>
        </w:rPr>
        <w:t>.” In the event that you elect to end your employment, the Company requires you to provide at least 30 days’ advance written notice to the Company. Notwithstanding the foregoing, the Company may unilaterally accelerate the Date of Termination, and such acceleration shall not result in a termination by the Company for purposes of this Agreement or the Executive Severance Plan.</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To the extent applicable, you shall be deemed to have resigned from all officer and board member positions that you hold with the Company or any of its respective subsidiaries and affiliates upon the termination of your employment for any reason. You shall execute any documents in reasonable form as may be requested to confirm or effectuate any such resignations.</w:t>
      </w:r>
    </w:p>
    <w:p>
      <w:pPr>
        <w:pStyle w:val="TextBody"/>
        <w:bidi w:val="0"/>
        <w:jc w:val="both"/>
        <w:rPr/>
      </w:pPr>
      <w:r>
        <w:rPr>
          <w:rFonts w:ascii="Times New Roman" w:hAnsi="Times New Roman"/>
          <w:b/>
          <w:color w:val="000000"/>
          <w:sz w:val="24"/>
        </w:rPr>
        <w:t>9. Accrued Obligations</w:t>
      </w:r>
      <w:r>
        <w:rPr>
          <w:rFonts w:ascii="Times New Roman" w:hAnsi="Times New Roman"/>
          <w:color w:val="000000"/>
          <w:sz w:val="24"/>
        </w:rPr>
        <w:t>. In the event of the ending of your employment for any reason, the Company shall pay you (i) your Base Salary through the Date of Termination, and (ii) the amount of any documented expenses properly incurred by you on behalf of the Company prior to any such termination and not yet reimbursed.</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10. Continuing Obligations.</w:t>
      </w:r>
    </w:p>
    <w:p>
      <w:pPr>
        <w:pStyle w:val="TextBody"/>
        <w:bidi w:val="0"/>
        <w:jc w:val="both"/>
        <w:rPr/>
      </w:pPr>
      <w:r>
        <w:rPr/>
        <w:t> </w:t>
      </w:r>
    </w:p>
    <w:p>
      <w:pPr>
        <w:pStyle w:val="TextBody"/>
        <w:bidi w:val="0"/>
        <w:spacing w:before="0" w:after="0"/>
        <w:jc w:val="both"/>
        <w:rPr/>
      </w:pPr>
      <w:r>
        <w:rPr>
          <w:rFonts w:ascii="Times New Roman" w:hAnsi="Times New Roman"/>
          <w:color w:val="000000"/>
          <w:sz w:val="24"/>
        </w:rPr>
        <w:t xml:space="preserve">(a) </w:t>
      </w:r>
      <w:r>
        <w:rPr>
          <w:rFonts w:ascii="Times New Roman" w:hAnsi="Times New Roman"/>
          <w:b/>
          <w:color w:val="000000"/>
          <w:sz w:val="24"/>
        </w:rPr>
        <w:t>Restrictive Covenants Agreement.</w:t>
      </w:r>
      <w:r>
        <w:rPr>
          <w:color w:val="000000"/>
        </w:rPr>
        <w:t xml:space="preserve"> </w:t>
      </w:r>
      <w:r>
        <w:rPr>
          <w:rFonts w:ascii="Times New Roman" w:hAnsi="Times New Roman"/>
          <w:color w:val="000000"/>
          <w:sz w:val="24"/>
        </w:rPr>
        <w:t>As a condition of your employment, you are required to enter into the Employee Confidentiality, Assignment, and Nonsolicitation Agreement enclosed with this Agreement (the “</w:t>
      </w:r>
      <w:r>
        <w:rPr>
          <w:rFonts w:ascii="Times New Roman" w:hAnsi="Times New Roman"/>
          <w:color w:val="000000"/>
          <w:sz w:val="24"/>
          <w:u w:val="single"/>
        </w:rPr>
        <w:t>Restrictive Covenants Agreement</w:t>
      </w:r>
      <w:r>
        <w:rPr>
          <w:color w:val="000000"/>
        </w:rPr>
        <w:t>”</w:t>
      </w:r>
      <w:r>
        <w:rPr>
          <w:rFonts w:ascii="Times New Roman" w:hAnsi="Times New Roman"/>
          <w:color w:val="000000"/>
          <w:sz w:val="24"/>
        </w:rPr>
        <w:t>). For purposes of this Agreement, the obligations in this Section 10 and those that arise in the Restrictive Covenants Agreement and any other agreement relating to confidentiality, assignment of inventions, or other restrictive covenants shall collectively be referred to as the “</w:t>
      </w:r>
      <w:r>
        <w:rPr>
          <w:rFonts w:ascii="Times New Roman" w:hAnsi="Times New Roman"/>
          <w:color w:val="000000"/>
          <w:sz w:val="24"/>
          <w:u w:val="single"/>
        </w:rPr>
        <w:t>Continuing Obligations</w:t>
      </w:r>
      <w:r>
        <w:rPr>
          <w:rFonts w:ascii="Times New Roman" w:hAnsi="Times New Roman"/>
          <w:color w:val="000000"/>
          <w:sz w:val="24"/>
        </w:rPr>
        <w:t>.”</w:t>
      </w:r>
    </w:p>
    <w:p>
      <w:pPr>
        <w:pStyle w:val="TextBody"/>
        <w:bidi w:val="0"/>
        <w:jc w:val="both"/>
        <w:rPr/>
      </w:pPr>
      <w:r>
        <w:rPr>
          <w:rFonts w:ascii="Times New Roman" w:hAnsi="Times New Roman"/>
          <w:color w:val="000000"/>
          <w:sz w:val="24"/>
        </w:rPr>
        <w:t xml:space="preserve">(b) </w:t>
      </w:r>
      <w:r>
        <w:rPr>
          <w:rFonts w:ascii="Times New Roman" w:hAnsi="Times New Roman"/>
          <w:b/>
          <w:color w:val="000000"/>
          <w:sz w:val="24"/>
        </w:rPr>
        <w:t>Third Party Agreements and Rights.</w:t>
      </w:r>
      <w:r>
        <w:rPr>
          <w:color w:val="000000"/>
        </w:rPr>
        <w:t xml:space="preserve"> </w:t>
      </w:r>
      <w:r>
        <w:rPr>
          <w:rFonts w:ascii="Times New Roman" w:hAnsi="Times New Roman"/>
          <w:color w:val="000000"/>
          <w:sz w:val="24"/>
        </w:rPr>
        <w:t>You hereby confirm that you are not bound by the terms of any agreement with any previous employer or other party which restricts in any way your use or disclosure of information, other than confidentiality restrictions (if any) or your engagement in any business. You represent to the Company that your execution of this Agreement, your employment with the Company and the performance of your proposed duties for the Company will not violate any obligations you may have to any such previous employer or other party. In your work for the Company, you will not disclose or make use of any information in violation of any agreements with or rights of any such previous employer or other party, and you will not bring to the premises of the Company any copies or other tangible embodiments of non-public information belonging to or obtained from any such previous employment or other party.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(c) </w:t>
      </w:r>
      <w:r>
        <w:rPr>
          <w:rFonts w:ascii="Times New Roman" w:hAnsi="Times New Roman"/>
          <w:b/>
          <w:color w:val="000000"/>
          <w:sz w:val="24"/>
        </w:rPr>
        <w:t>Litigation and Regulatory Cooperation.</w:t>
      </w:r>
      <w:r>
        <w:rPr>
          <w:rFonts w:ascii="Times New Roman" w:hAnsi="Times New Roman"/>
          <w:color w:val="000000"/>
          <w:sz w:val="20"/>
        </w:rPr>
        <w:t xml:space="preserve"> </w:t>
      </w:r>
      <w:r>
        <w:rPr>
          <w:rFonts w:ascii="Times New Roman" w:hAnsi="Times New Roman"/>
          <w:color w:val="000000"/>
          <w:sz w:val="24"/>
        </w:rPr>
        <w:t>During and after your employment, you shall cooperate fully with the Company in (i) the defense or prosecution of any claims or actions now in existence or which may be brought in the future against or on behalf of the Company which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relate to events or occurrences that transpired while you were employed by the Company, and (ii) the investigation, whether internal or external, of any matters about which the Company believes you may have knowledge or information. Your full cooperation in connection with such claims, actions or investigations shall include, but not be limited to, being available to meet with counsel to answer questions or to prepare for discovery or trial and to act as a witness on behalf of the Company at mutually convenient times. During and after your employment, you also shall cooperate fully with the Company in connection with any investigation or review of any federal, state or local regulatory authority as any such investigation or review relates to events or occurrences that transpired while you were employed by the Company. The Company shall reimburse you for any reasonable out-of-pocket expenses incurred in connection with your performance of obligations pursuant to this Section 10(c).</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(d) </w:t>
      </w:r>
      <w:r>
        <w:rPr>
          <w:rFonts w:ascii="Times New Roman" w:hAnsi="Times New Roman"/>
          <w:b/>
          <w:color w:val="000000"/>
          <w:sz w:val="24"/>
        </w:rPr>
        <w:t>Relief.</w:t>
      </w:r>
      <w:r>
        <w:rPr>
          <w:rFonts w:ascii="Times New Roman" w:hAnsi="Times New Roman"/>
          <w:color w:val="000000"/>
          <w:sz w:val="20"/>
        </w:rPr>
        <w:t xml:space="preserve"> </w:t>
      </w:r>
      <w:r>
        <w:rPr>
          <w:rFonts w:ascii="Times New Roman" w:hAnsi="Times New Roman"/>
          <w:color w:val="000000"/>
          <w:sz w:val="24"/>
        </w:rPr>
        <w:t>You agree that it would be difficult to measure any damages caused to the Company which might result from your breach of any of the Continuing Obligations, and that in any event money damages would be an inadequate remedy for any such breach. Accordingly, you agree that if you breach, or propose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11. Section 409A</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 Anything in this Agreement to the contrary notwithstanding, if at the time of your separation from service within the meaning of Section 409A of the Internal Revenue Code of 1986, as amended (the “Code”), the Company determines that you are a “specified employee” within the meaning of Section 409A(a)(2)(B)(i) of the Code, then to the extent any payment or benefit that you become entitled to under this Agreement or otherwise on account of your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(i) six months and one day after your separation from service, or (ii) your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(b) All in-kind benefits provided and expenses eligible for reimbursement under this Agreement shall be provided by the Company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(c) To the extent that any payment or benefit described in this Agreement constitutes “non-qualified deferred compensation” under Section 409A of the Code, and to the extent that such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payment or benefit is payable upon the termination of your employment, then such payments or benefits shall be payable only upon your “separation from service.” The determination of whether and when a separation from service has occurred shall be made in accordance with the presumptions set forth in Treasury Regulation Section 1.409A-1(h).</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(d) 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(e) 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such Section.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12. Withholding; Tax Effect.</w:t>
      </w:r>
      <w:r>
        <w:rPr>
          <w:rFonts w:ascii="Times New Roman" w:hAnsi="Times New Roman"/>
          <w:color w:val="000000"/>
          <w:sz w:val="20"/>
        </w:rPr>
        <w:t xml:space="preserve"> </w:t>
      </w:r>
      <w:r>
        <w:rPr>
          <w:rFonts w:ascii="Times New Roman" w:hAnsi="Times New Roman"/>
          <w:color w:val="000000"/>
          <w:sz w:val="24"/>
        </w:rPr>
        <w:t>All forms of compensation referred to in this Agreement are subject to reduction to reflect applicable withholding and payroll taxes and other deductions required by law. You hereby acknowledge that the Company does not have a duty to design its compensation policies in a manner that minimizes your tax liabilities, and you will not make any claim against the Company or the Board related to tax liabilities arising from your compensation.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13. Interpretation and Enforcement.</w:t>
      </w:r>
      <w:r>
        <w:rPr>
          <w:rFonts w:ascii="Times New Roman" w:hAnsi="Times New Roman"/>
          <w:color w:val="000000"/>
          <w:sz w:val="20"/>
        </w:rPr>
        <w:t xml:space="preserve"> </w:t>
      </w:r>
      <w:r>
        <w:rPr>
          <w:rFonts w:ascii="Times New Roman" w:hAnsi="Times New Roman"/>
          <w:color w:val="000000"/>
          <w:sz w:val="24"/>
        </w:rPr>
        <w:t>This Agreement, collectively with the Restrictive Covenants Agreement, the Executive Severance Plan and the Equity Documents, constitutes the complete agreement between you and the Company, contains all of the terms of your employment with the Company and supersedes any prior agreements, representations or understandings (whether written, oral or implied) between you and the Company. Except as expressly otherwise provided in the Executive Severance Plan, the Equity Documents or the Restrictive Covenants Agreement, the terms of this Agreement and the resolution of any disputes as to the meaning, effect, performance or validity of this Agreement or arising out of, related to, or in any way connected with this Agreement, your employment with the Company or any other relationship between you and the Company (the “</w:t>
      </w:r>
      <w:r>
        <w:rPr>
          <w:rFonts w:ascii="Times New Roman" w:hAnsi="Times New Roman"/>
          <w:color w:val="000000"/>
          <w:sz w:val="24"/>
          <w:u w:val="single"/>
        </w:rPr>
        <w:t>Disputes</w:t>
      </w:r>
      <w:r>
        <w:rPr>
          <w:rFonts w:ascii="Times New Roman" w:hAnsi="Times New Roman"/>
          <w:color w:val="000000"/>
          <w:sz w:val="20"/>
        </w:rPr>
        <w:t>”</w:t>
      </w:r>
      <w:r>
        <w:rPr>
          <w:rFonts w:ascii="Times New Roman" w:hAnsi="Times New Roman"/>
          <w:color w:val="000000"/>
          <w:sz w:val="24"/>
        </w:rPr>
        <w:t>) will be governed by California law, excluding laws relating to conflicts or choice of law. You and the Company submit to the exclusive personal jurisdiction of the federal and state courts located in California in connection with any Dispute or any claim related to any Dispute.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14. Assignment.</w:t>
      </w:r>
      <w:r>
        <w:rPr>
          <w:rFonts w:ascii="Times New Roman" w:hAnsi="Times New Roman"/>
          <w:color w:val="000000"/>
          <w:sz w:val="20"/>
        </w:rPr>
        <w:t xml:space="preserve"> </w:t>
      </w:r>
      <w:r>
        <w:rPr>
          <w:rFonts w:ascii="Times New Roman" w:hAnsi="Times New Roman"/>
          <w:color w:val="000000"/>
          <w:sz w:val="24"/>
        </w:rPr>
        <w:t xml:space="preserve">Neither you nor the Company may make any assignment of this Agreement or any interest in it, by operation of law or otherwise, without the prior written consent of the other; </w:t>
      </w:r>
      <w:r>
        <w:rPr>
          <w:rFonts w:ascii="Times New Roman" w:hAnsi="Times New Roman"/>
          <w:i/>
          <w:color w:val="000000"/>
          <w:sz w:val="24"/>
        </w:rPr>
        <w:t>provided, however</w:t>
      </w:r>
      <w:r>
        <w:rPr>
          <w:rFonts w:ascii="Times New Roman" w:hAnsi="Times New Roman"/>
          <w:color w:val="000000"/>
          <w:sz w:val="24"/>
        </w:rPr>
        <w:t xml:space="preserve">, that the Company may assign its rights and obligations under this Agreement without your consent to any affiliate or to any person or entity with whom the Company shall hereafter effect a reorganization, consolidate with, or merge into or to whom it transfers all or substantially all of its properties or assets; </w:t>
      </w:r>
      <w:r>
        <w:rPr>
          <w:rFonts w:ascii="Times New Roman" w:hAnsi="Times New Roman"/>
          <w:i/>
          <w:color w:val="000000"/>
          <w:sz w:val="24"/>
        </w:rPr>
        <w:t>provided further</w:t>
      </w:r>
      <w:r>
        <w:rPr>
          <w:rFonts w:ascii="Times New Roman" w:hAnsi="Times New Roman"/>
          <w:color w:val="000000"/>
          <w:sz w:val="24"/>
        </w:rPr>
        <w:t>, that if you remain employed or become employed by the Company, the purchaser or any of their affiliates in connection with any such transaction, then you shall not be entitled to any payments, benefits or vesting pursuant to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Executive Severance Plan solely as a result of such transaction. This Agreement shall inure to the benefit of and be binding upon you and the Company, and each of your and its respective successors, executors, administrators, heirs and permitted assigns.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15. Waiver; Amendment</w:t>
      </w:r>
      <w:r>
        <w:rPr>
          <w:rFonts w:ascii="Times New Roman" w:hAnsi="Times New Roman"/>
          <w:color w:val="000000"/>
          <w:sz w:val="24"/>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 This Agreement may be amended or modified only by a written instrument signed by you and by a duly authorized representative of the Company (other than yourself).</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16. Enforceability.</w:t>
      </w:r>
      <w:r>
        <w:rPr>
          <w:rFonts w:ascii="Times New Roman" w:hAnsi="Times New Roman"/>
          <w:color w:val="000000"/>
          <w:sz w:val="20"/>
        </w:rPr>
        <w:t xml:space="preserve"> </w:t>
      </w:r>
      <w:r>
        <w:rPr>
          <w:rFonts w:ascii="Times New Roman" w:hAnsi="Times New Roman"/>
          <w:color w:val="000000"/>
          <w:sz w:val="24"/>
        </w:rPr>
        <w:t>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17. Conditions.</w:t>
      </w:r>
      <w:r>
        <w:rPr>
          <w:rFonts w:ascii="Times New Roman" w:hAnsi="Times New Roman"/>
          <w:color w:val="000000"/>
          <w:sz w:val="20"/>
        </w:rPr>
        <w:t xml:space="preserve"> </w:t>
      </w:r>
      <w:r>
        <w:rPr>
          <w:rFonts w:ascii="Times New Roman" w:hAnsi="Times New Roman"/>
          <w:color w:val="000000"/>
          <w:sz w:val="24"/>
        </w:rPr>
        <w:t>This offer is contingent on the completion of successful reference and background checks, and proof of full COVID vaccination including all eligible booster / annual vaccinations, and if the Company makes future vaccinations mandatory at its discretion, your continued employment may be contingent upon keeping up with vaccinations that you are eligible for. As with any employee, you must submit satisfactory proof of your identity and your legal authorization to work in the United States.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18. Other Terms</w:t>
      </w:r>
      <w:r>
        <w:rPr>
          <w:rFonts w:ascii="Times New Roman" w:hAnsi="Times New Roman"/>
          <w:color w:val="000000"/>
          <w:sz w:val="24"/>
        </w:rPr>
        <w:t>. The provisions of this Agreement shall survive the termination of this Agreement and/or the termination of your employment to the extent necessary to effectuate the terms contained herein. The headings and other captions in this Agreement are for convenience and reference only and shall not be used in interpreting, construing or enforcing any of the provisions of this Agreement. This Agreement may be executed in separate counterparts. When both counterparts are signed, they shall be treated together as one and the same document. PDF copies of signed counterparts shall be equally effective as originals.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[Signature page follows.]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4"/>
        </w:rPr>
        <w:t>To accept this offer of employment, please sign and return this letter of agreement and the Restrictive Covenants Agreement by January 6, 2026. We look forward to your joining the Company.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Very truly yours,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 Samira Shaikhly</w:t>
      </w:r>
    </w:p>
    <w:p>
      <w:pPr>
        <w:pStyle w:val="TextBody"/>
        <w:bidi w:val="0"/>
        <w:jc w:val="left"/>
        <w:rPr>
          <w:rFonts w:ascii="Times New Roman" w:hAnsi="Times New Roman"/>
          <w:sz w:val="20"/>
        </w:rPr>
      </w:pPr>
      <w:r>
        <w:rPr>
          <w:rFonts w:ascii="Times New Roman" w:hAnsi="Times New Roman"/>
          <w:color w:val="000000"/>
          <w:sz w:val="24"/>
        </w:rPr>
        <w:t>By: _________________________</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Name: Samira Shaikhly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Title: Chief People Officer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Enclosure (Employee Confidentiality, Assignment and Nonsolicitation Agreement)</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4"/>
        </w:rPr>
        <w:t>I have read and accept this employment offer.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 Mark Wilson</w:t>
      </w:r>
    </w:p>
    <w:p>
      <w:pPr>
        <w:pStyle w:val="TextBody"/>
        <w:bidi w:val="0"/>
        <w:jc w:val="left"/>
        <w:rPr>
          <w:rFonts w:ascii="Times New Roman" w:hAnsi="Times New Roman"/>
          <w:sz w:val="20"/>
        </w:rPr>
      </w:pPr>
      <w:r>
        <w:rPr>
          <w:rFonts w:ascii="Times New Roman" w:hAnsi="Times New Roman"/>
          <w:color w:val="000000"/>
          <w:sz w:val="24"/>
        </w:rPr>
        <w:t>_______________________________</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Mark Wilson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Date: 1/6/2026</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bookmarkStart w:id="43" w:name="sepn-ex23_1.htm"/>
      <w:bookmarkStart w:id="44" w:name="kssepnex23_1"/>
      <w:bookmarkEnd w:id="43"/>
      <w:bookmarkEnd w:id="4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23.1</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consent to the incorporation by reference in the Registration Statements: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Registration Statement (Form S-8 No. 333-282837) pertaining to the 2021 Stock Option and Grant Plan, 2024 Stock Option and Incentive Plan and 2024 Employee Stock Purchase Plan of Septerna, Inc.,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Registration Statement (Form S-8 No.333-286152) pertaining to the 2024 Stock Option and Incentive Plan of Septerna, Inc.;</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of our report dated March 9, 2026, with respect to the financial statements of Septerna, Inc. included in this Annual Report (Form 10-K) of Septerna, Inc. for the year ended December 31, 2025.</w:t>
      </w:r>
    </w:p>
    <w:p>
      <w:pPr>
        <w:pStyle w:val="TextBody"/>
        <w:bidi w:val="0"/>
        <w:jc w:val="both"/>
        <w:rPr>
          <w:rFonts w:ascii="Times New Roman" w:hAnsi="Times New Roman"/>
          <w:color w:val="000000"/>
          <w:sz w:val="20"/>
        </w:rPr>
      </w:pPr>
      <w:r>
        <w:rPr>
          <w:rFonts w:ascii="Times New Roman" w:hAnsi="Times New Roman"/>
          <w:color w:val="000000"/>
          <w:sz w:val="20"/>
        </w:rPr>
        <w:t>/s/ Ernst &amp; Young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San Mateo, California</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March 9, 2026</w:t>
      </w:r>
    </w:p>
    <w:p>
      <w:pPr>
        <w:pStyle w:val="TextBody"/>
        <w:bidi w:val="0"/>
        <w:spacing w:before="0" w:after="200"/>
        <w:jc w:val="left"/>
        <w:rPr/>
      </w:pPr>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5" w:name="sepn-ex31_1.htm"/>
      <w:bookmarkStart w:id="46" w:name="kssepnex31_1"/>
      <w:bookmarkEnd w:id="45"/>
      <w:bookmarkEnd w:id="46"/>
      <w:r>
        <w:rPr>
          <w:rFonts w:ascii="Times New Roman" w:hAnsi="Times New Roman"/>
          <w:b/>
          <w:color w:val="000000"/>
          <w:sz w:val="20"/>
        </w:rPr>
        <w:t>Exhibit 31.1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 Jeffrey Finer,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have reviewed this Annual Report on Form 10-K of Septerna,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(Paragraph omitted pursuant to SEC Release Nos. 33-8238/34-47986 and 33-8392/34-49313);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4777" w:type="dxa"/>
        <w:jc w:val="left"/>
        <w:tblInd w:w="0" w:type="dxa"/>
        <w:tblLayout w:type="fixed"/>
        <w:tblCellMar>
          <w:top w:w="28" w:type="dxa"/>
          <w:left w:w="28" w:type="dxa"/>
          <w:bottom w:w="28" w:type="dxa"/>
          <w:right w:w="28" w:type="dxa"/>
        </w:tblCellMar>
      </w:tblPr>
      <w:tblGrid>
        <w:gridCol w:w="1786"/>
        <w:gridCol w:w="109"/>
        <w:gridCol w:w="406"/>
        <w:gridCol w:w="2476"/>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9,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Jeffrey Finer, M.D., Ph.D.</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color w:val="000000"/>
                <w:sz w:val="20"/>
              </w:rPr>
            </w:pPr>
            <w:r>
              <w:rPr>
                <w:rFonts w:ascii="Times New Roman" w:hAnsi="Times New Roman"/>
                <w:color w:val="000000"/>
                <w:sz w:val="20"/>
              </w:rPr>
              <w:t>Jeffrey Finer, M.D., Ph.D.</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15"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7" w:name="sepn-ex31_2.htm"/>
      <w:bookmarkStart w:id="48" w:name="kssepnex31_2"/>
      <w:bookmarkEnd w:id="47"/>
      <w:bookmarkEnd w:id="48"/>
      <w:r>
        <w:rPr>
          <w:rFonts w:ascii="Times New Roman" w:hAnsi="Times New Roman"/>
          <w:b/>
          <w:color w:val="000000"/>
          <w:sz w:val="20"/>
        </w:rPr>
        <w:t>Exhibit 31.2</w:t>
      </w:r>
      <w:r>
        <w:br w:type="page"/>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Gil M. Labrucherie,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Septerna,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(Paragraph omitted pursuant to SEC Release Nos. 33-8238/34-47986 and 33-8392/34-49313);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0" w:after="240"/>
        <w:jc w:val="left"/>
        <w:rPr/>
      </w:pPr>
      <w:r>
        <w:rPr/>
        <w:t> </w:t>
      </w:r>
    </w:p>
    <w:tbl>
      <w:tblPr>
        <w:tblW w:w="7484" w:type="dxa"/>
        <w:jc w:val="left"/>
        <w:tblInd w:w="0" w:type="dxa"/>
        <w:tblLayout w:type="fixed"/>
        <w:tblCellMar>
          <w:top w:w="28" w:type="dxa"/>
          <w:left w:w="28" w:type="dxa"/>
          <w:bottom w:w="28" w:type="dxa"/>
          <w:right w:w="28" w:type="dxa"/>
        </w:tblCellMar>
      </w:tblPr>
      <w:tblGrid>
        <w:gridCol w:w="1786"/>
        <w:gridCol w:w="146"/>
        <w:gridCol w:w="406"/>
        <w:gridCol w:w="5146"/>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9,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Gil M. Labrucherie, CFA, J.D.</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Gil M. Labrucherie, CFA, J.D.</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9" w:name="sepn-ex32_1.htm"/>
      <w:bookmarkStart w:id="50" w:name="kssepnex32_1"/>
      <w:bookmarkEnd w:id="49"/>
      <w:bookmarkEnd w:id="50"/>
      <w:r>
        <w:rPr>
          <w:rFonts w:ascii="Times New Roman" w:hAnsi="Times New Roman"/>
          <w:b/>
          <w:color w:val="000000"/>
          <w:sz w:val="20"/>
        </w:rPr>
        <w:t>Exhibit 32.1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CERTIFICATIONS OF PRINCIPAL EXECUTIVE OFFICER AND PRINCIPAL FINANCIAL OFFICER PURSUANT TO 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Septerna, Inc. (the “Company”) on Form 10-K for the year ended December 31, 2025 as filed with the Securities and Exchange Commission on the date hereof (the “Report”), the undersigned officers of the Company hereby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tbl>
      <w:tblPr>
        <w:tblW w:w="4777" w:type="dxa"/>
        <w:jc w:val="left"/>
        <w:tblInd w:w="0" w:type="dxa"/>
        <w:tblLayout w:type="fixed"/>
        <w:tblCellMar>
          <w:top w:w="28" w:type="dxa"/>
          <w:left w:w="28" w:type="dxa"/>
          <w:bottom w:w="28" w:type="dxa"/>
          <w:right w:w="28" w:type="dxa"/>
        </w:tblCellMar>
      </w:tblPr>
      <w:tblGrid>
        <w:gridCol w:w="1786"/>
        <w:gridCol w:w="109"/>
        <w:gridCol w:w="406"/>
        <w:gridCol w:w="2476"/>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9,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Jeffrey Finer, M.D., Ph.D.</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color w:val="000000"/>
                <w:sz w:val="20"/>
              </w:rPr>
            </w:pPr>
            <w:r>
              <w:rPr>
                <w:rFonts w:ascii="Times New Roman" w:hAnsi="Times New Roman"/>
                <w:color w:val="000000"/>
                <w:sz w:val="20"/>
              </w:rPr>
              <w:t>Jeffrey Finer, M.D., Ph.D.</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15" w:after="283"/>
              <w:jc w:val="center"/>
              <w:rPr>
                <w:rFonts w:ascii="Times New Roman" w:hAnsi="Times New Roman"/>
                <w:color w:val="000000"/>
                <w:sz w:val="20"/>
              </w:rPr>
            </w:pPr>
            <w:r>
              <w:rPr>
                <w:rFonts w:ascii="Times New Roman" w:hAnsi="Times New Roman"/>
                <w:color w:val="000000"/>
                <w:sz w:val="20"/>
              </w:rPr>
              <w:t>(Principal Executive Officer)</w:t>
            </w:r>
          </w:p>
        </w:tc>
      </w:tr>
    </w:tbl>
    <w:tbl>
      <w:tblPr>
        <w:tblW w:w="7447" w:type="dxa"/>
        <w:jc w:val="left"/>
        <w:tblInd w:w="0" w:type="dxa"/>
        <w:tblLayout w:type="fixed"/>
        <w:tblCellMar>
          <w:top w:w="28" w:type="dxa"/>
          <w:left w:w="28" w:type="dxa"/>
          <w:bottom w:w="28" w:type="dxa"/>
          <w:right w:w="28" w:type="dxa"/>
        </w:tblCellMar>
      </w:tblPr>
      <w:tblGrid>
        <w:gridCol w:w="1786"/>
        <w:gridCol w:w="109"/>
        <w:gridCol w:w="406"/>
        <w:gridCol w:w="5146"/>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9,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Gil M. Labrucherie, CFA, J.D.</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Gil M. Labrucherie, CFA, J.D.</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15" w:after="283"/>
              <w:jc w:val="center"/>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3.jpeg"/><Relationship Id="rId15" Type="http://schemas.openxmlformats.org/officeDocument/2006/relationships/hyperlink" Target="https://www.sec.gov/Archives/edgar/data/1984086/000119312524245578/d851611dex31.htm" TargetMode="External"/><Relationship Id="rId16" Type="http://schemas.openxmlformats.org/officeDocument/2006/relationships/hyperlink" Target="https://www.sec.gov/Archives/edgar/data/1984086/000119312524245578/d851611dex32.htm" TargetMode="External"/><Relationship Id="rId17" Type="http://schemas.openxmlformats.org/officeDocument/2006/relationships/hyperlink" Target="https://www.sec.gov/Archives/edgar/data/1984086/000119312524231178/d762905dex41.htm" TargetMode="External"/><Relationship Id="rId18" Type="http://schemas.openxmlformats.org/officeDocument/2006/relationships/hyperlink" Target="https://www.sec.gov/Archives/edgar/data/1984086/000119312524239994/d762905dex42.htm" TargetMode="External"/><Relationship Id="rId19" Type="http://schemas.openxmlformats.org/officeDocument/2006/relationships/hyperlink" Target="https://www.sec.gov/Archives/edgar/data/1984086/000119312524231178/d762905dex101.htm" TargetMode="External"/><Relationship Id="rId20" Type="http://schemas.openxmlformats.org/officeDocument/2006/relationships/hyperlink" Target="https://www.sec.gov/Archives/edgar/data/1984086/000119312524239994/d762905dex102.htm" TargetMode="External"/><Relationship Id="rId21" Type="http://schemas.openxmlformats.org/officeDocument/2006/relationships/hyperlink" Target="https://www.sec.gov/Archives/edgar/data/1984086/000119312524239994/d762905dex103.htm" TargetMode="External"/><Relationship Id="rId22" Type="http://schemas.openxmlformats.org/officeDocument/2006/relationships/hyperlink" Target="https://www.sec.gov/Archives/edgar/data/1984086/000119312524239994/d762905dex104.htm" TargetMode="External"/><Relationship Id="rId23" Type="http://schemas.openxmlformats.org/officeDocument/2006/relationships/hyperlink" Target="https://www.sec.gov/Archives/edgar/data/1984086/000119312524239994/d762905dex105.htm" TargetMode="External"/><Relationship Id="rId24" Type="http://schemas.openxmlformats.org/officeDocument/2006/relationships/hyperlink" Target="https://www.sec.gov/Archives/edgar/data/1984086/000119312524239994/d762905dex106.htm" TargetMode="External"/><Relationship Id="rId25" Type="http://schemas.openxmlformats.org/officeDocument/2006/relationships/hyperlink" Target="https://www.sec.gov/Archives/edgar/data/1984086/000119312524239994/d762905dex107.htm" TargetMode="External"/><Relationship Id="rId26" Type="http://schemas.openxmlformats.org/officeDocument/2006/relationships/hyperlink" Target="https://www.sec.gov/Archives/edgar/data/1984086/000119312524239994/d762905dex108.htm" TargetMode="External"/><Relationship Id="rId27" Type="http://schemas.openxmlformats.org/officeDocument/2006/relationships/hyperlink" Target="https://www.sec.gov/Archives/edgar/data/1984086/000119312524239994/d762905dex109.htm" TargetMode="External"/><Relationship Id="rId28" Type="http://schemas.openxmlformats.org/officeDocument/2006/relationships/hyperlink" Target="https://www.sec.gov/Archives/edgar/data/1984086/000119312524239994/d762905dex1010.htm" TargetMode="External"/><Relationship Id="rId29" Type="http://schemas.openxmlformats.org/officeDocument/2006/relationships/hyperlink" Target="https://www.sec.gov/Archives/edgar/data/1984086/000119312524239994/d762905dex1011.htm" TargetMode="External"/><Relationship Id="rId30" Type="http://schemas.openxmlformats.org/officeDocument/2006/relationships/hyperlink" Target="https://www.sec.gov/Archives/edgar/data/1984086/000119312524239994/d762905dex1012.htm" TargetMode="External"/><Relationship Id="rId31" Type="http://schemas.openxmlformats.org/officeDocument/2006/relationships/hyperlink" Target="https://www.sec.gov/Archives/edgar/data/1984086/000119312524239994/d762905dex1013.htm" TargetMode="External"/><Relationship Id="rId32" Type="http://schemas.openxmlformats.org/officeDocument/2006/relationships/hyperlink" Target="https://www.sec.gov/Archives/edgar/data/1984086/000119312524239994/d762905dex1014.htm" TargetMode="External"/><Relationship Id="rId33" Type="http://schemas.openxmlformats.org/officeDocument/2006/relationships/hyperlink" Target="https://www.sec.gov/Archives/edgar/data/1984086/000119312525001834/d753888dex101.htm" TargetMode="External"/><Relationship Id="rId34" Type="http://schemas.openxmlformats.org/officeDocument/2006/relationships/hyperlink" Target="https://www.sec.gov/Archives/edgar/data/1984086/000119312524239994/d762905dex1016.htm" TargetMode="External"/><Relationship Id="rId35" Type="http://schemas.openxmlformats.org/officeDocument/2006/relationships/hyperlink" Target="https://www.sec.gov/Archives/edgar/data/1984086/000119312524231178/d762905dex1017.htm" TargetMode="External"/><Relationship Id="rId36" Type="http://schemas.openxmlformats.org/officeDocument/2006/relationships/hyperlink" Target="https://www.sec.gov/Archives/edgar/data/1984086/000119312524231178/d762905dex1018.htm" TargetMode="External"/><Relationship Id="rId37" Type="http://schemas.openxmlformats.org/officeDocument/2006/relationships/hyperlink" Target="https://www.sec.gov/Archives/edgar/data/1984086/000095017025106551/sepn-ex10_1.htm" TargetMode="External"/><Relationship Id="rId38" Type="http://schemas.openxmlformats.org/officeDocument/2006/relationships/hyperlink" Target="https://www.sec.gov/Archives/edgar/data/1984086/000095017025045745/sepn-ex19_1.htm" TargetMode="External"/><Relationship Id="rId39" Type="http://schemas.openxmlformats.org/officeDocument/2006/relationships/hyperlink" Target="https://www.sec.gov/Archives/edgar/data/1984086/000119312524231178/d762905dex211.htm" TargetMode="External"/><Relationship Id="rId40" Type="http://schemas.openxmlformats.org/officeDocument/2006/relationships/hyperlink" Target="https://www.sec.gov/Archives/edgar/data/1984086/000119312524239994/d762905dex1015.htm" TargetMode="External"/><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123734</Words>
  <Characters>696648</Characters>
  <CharactersWithSpaces>820047</CharactersWithSpaces>
  <Paragraphs>8064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