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5638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63880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Long Daniel 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SEPTERNA,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 EAST GRAND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Septerna,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SEPN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854"/>
        <w:spacing w:after="0"/>
        <w:rPr>
          <w:sz w:val="20"/>
          <w:szCs w:val="20"/>
          <w:color w:val="auto"/>
        </w:rPr>
      </w:pPr>
      <w:r>
        <w:rPr>
          <w:rFonts w:ascii="Times New Roman" w:cs="Times New Roman" w:eastAsia="Times New Roman" w:hAnsi="Times New Roman"/>
          <w:sz w:val="17"/>
          <w:szCs w:val="17"/>
          <w:color w:val="0000FF"/>
        </w:rPr>
        <w:t>SVP, Drug Discovery</w:t>
      </w:r>
    </w:p>
    <w:p>
      <w:pPr>
        <w:spacing w:after="0" w:line="539"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80" w:type="dxa"/>
            <w:vAlign w:val="bottom"/>
            <w:shd w:val="clear" w:color="auto" w:fill="9A9A9A"/>
          </w:tcPr>
          <w:p>
            <w:pPr>
              <w:spacing w:after="0"/>
              <w:rPr>
                <w:sz w:val="3"/>
                <w:szCs w:val="3"/>
                <w:color w:val="auto"/>
              </w:rPr>
            </w:pPr>
          </w:p>
        </w:tc>
        <w:tc>
          <w:tcPr>
            <w:tcW w:w="200" w:type="dxa"/>
            <w:vAlign w:val="bottom"/>
            <w:shd w:val="clear" w:color="auto" w:fill="9A9A9A"/>
          </w:tcPr>
          <w:p>
            <w:pPr>
              <w:spacing w:after="0"/>
              <w:rPr>
                <w:sz w:val="3"/>
                <w:szCs w:val="3"/>
                <w:color w:val="auto"/>
              </w:rPr>
            </w:pPr>
          </w:p>
        </w:tc>
        <w:tc>
          <w:tcPr>
            <w:tcW w:w="1040" w:type="dxa"/>
            <w:vAlign w:val="bottom"/>
            <w:shd w:val="clear" w:color="auto" w:fill="9A9A9A"/>
          </w:tcPr>
          <w:p>
            <w:pPr>
              <w:spacing w:after="0"/>
              <w:rPr>
                <w:sz w:val="3"/>
                <w:szCs w:val="3"/>
                <w:color w:val="auto"/>
              </w:rPr>
            </w:pPr>
          </w:p>
        </w:tc>
        <w:tc>
          <w:tcPr>
            <w:tcW w:w="1200" w:type="dxa"/>
            <w:vAlign w:val="bottom"/>
            <w:tcBorders>
              <w:right w:val="single" w:sz="8" w:color="9A9A9A"/>
            </w:tcBorders>
            <w:shd w:val="clear" w:color="auto" w:fill="9A9A9A"/>
          </w:tcPr>
          <w:p>
            <w:pPr>
              <w:spacing w:after="0"/>
              <w:rPr>
                <w:sz w:val="3"/>
                <w:szCs w:val="3"/>
                <w:color w:val="auto"/>
              </w:rPr>
            </w:pPr>
          </w:p>
        </w:tc>
        <w:tc>
          <w:tcPr>
            <w:tcW w:w="3560" w:type="dxa"/>
            <w:vAlign w:val="bottom"/>
            <w:gridSpan w:val="6"/>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560" w:type="dxa"/>
            <w:vAlign w:val="bottom"/>
            <w:gridSpan w:val="6"/>
            <w:vMerge w:val="continue"/>
          </w:tcPr>
          <w:p>
            <w:pPr>
              <w:spacing w:after="0"/>
              <w:rPr>
                <w:sz w:val="9"/>
                <w:szCs w:val="9"/>
                <w:color w:val="auto"/>
              </w:rPr>
            </w:pPr>
          </w:p>
        </w:tc>
        <w:tc>
          <w:tcPr>
            <w:tcW w:w="37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gridSpan w:val="2"/>
          </w:tcPr>
          <w:p>
            <w:pPr>
              <w:ind w:left="42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94080</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2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4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200" w:type="dxa"/>
            <w:vAlign w:val="bottom"/>
          </w:tcPr>
          <w:p>
            <w:pPr>
              <w:ind w:left="2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2"/>
          </w:tcPr>
          <w:p>
            <w:pPr>
              <w:spacing w:after="0"/>
              <w:rPr>
                <w:sz w:val="10"/>
                <w:szCs w:val="10"/>
                <w:color w:val="auto"/>
              </w:rPr>
            </w:pPr>
          </w:p>
        </w:tc>
        <w:tc>
          <w:tcPr>
            <w:tcW w:w="4960" w:type="dxa"/>
            <w:vAlign w:val="bottom"/>
            <w:tcBorders>
              <w:bottom w:val="single" w:sz="8" w:color="2C2C2C"/>
            </w:tcBorders>
            <w:gridSpan w:val="9"/>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1"/>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2"/>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07/01/2026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3,333</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Pr>
          <w:p>
            <w:pPr>
              <w:jc w:val="center"/>
              <w:ind w:left="9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2.76</w:t>
            </w:r>
          </w:p>
        </w:tc>
        <w:tc>
          <w:tcPr>
            <w:tcW w:w="220" w:type="dxa"/>
            <w:vAlign w:val="bottom"/>
          </w:tcPr>
          <w:p>
            <w:pPr>
              <w:spacing w:after="0"/>
              <w:rPr>
                <w:sz w:val="22"/>
                <w:szCs w:val="22"/>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99,745</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07/01/2026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2,100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34.0964</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97,645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07/01/2026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1,233</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34.8141</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96,412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1"/>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0" w:type="dxa"/>
            <w:vAlign w:val="bottom"/>
            <w:gridSpan w:val="8"/>
          </w:tcPr>
          <w:p>
            <w:pPr>
              <w:jc w:val="center"/>
              <w:ind w:left="55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5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2.76</w:t>
            </w:r>
          </w:p>
        </w:tc>
        <w:tc>
          <w:tcPr>
            <w:tcW w:w="200" w:type="dxa"/>
            <w:vAlign w:val="bottom"/>
          </w:tcPr>
          <w:p>
            <w:pPr>
              <w:spacing w:after="0"/>
              <w:rPr>
                <w:sz w:val="12"/>
                <w:szCs w:val="12"/>
                <w:color w:val="auto"/>
              </w:rPr>
            </w:pP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07/01/2026</w:t>
            </w:r>
          </w:p>
        </w:tc>
        <w:tc>
          <w:tcPr>
            <w:tcW w:w="1200" w:type="dxa"/>
            <w:vAlign w:val="bottom"/>
          </w:tcPr>
          <w:p>
            <w:pPr>
              <w:spacing w:after="0"/>
              <w:rPr>
                <w:sz w:val="12"/>
                <w:szCs w:val="12"/>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3,333</w:t>
            </w: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11/11/2033</w:t>
            </w:r>
          </w:p>
        </w:tc>
        <w:tc>
          <w:tcPr>
            <w:tcW w:w="56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3,333</w:t>
            </w:r>
          </w:p>
        </w:tc>
        <w:tc>
          <w:tcPr>
            <w:tcW w:w="220" w:type="dxa"/>
            <w:vAlign w:val="bottom"/>
          </w:tcPr>
          <w:p>
            <w:pPr>
              <w:spacing w:after="0"/>
              <w:rPr>
                <w:sz w:val="12"/>
                <w:szCs w:val="12"/>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7,043</w:t>
            </w:r>
          </w:p>
        </w:tc>
        <w:tc>
          <w:tcPr>
            <w:tcW w:w="26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5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sales plan adopted by the Reporting Person on March 20, 2026.</w:t>
      </w:r>
    </w:p>
    <w:p>
      <w:pPr>
        <w:spacing w:after="0" w:line="45" w:lineRule="exact"/>
        <w:rPr>
          <w:rFonts w:ascii="Times New Roman" w:cs="Times New Roman" w:eastAsia="Times New Roman" w:hAnsi="Times New Roman"/>
          <w:sz w:val="13"/>
          <w:szCs w:val="13"/>
          <w:color w:val="008000"/>
        </w:rPr>
      </w:pPr>
    </w:p>
    <w:p>
      <w:pPr>
        <w:ind w:left="40" w:right="2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$33.49 to $34.46.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15" w:lineRule="exact"/>
        <w:rPr>
          <w:rFonts w:ascii="Times New Roman" w:cs="Times New Roman" w:eastAsia="Times New Roman" w:hAnsi="Times New Roman"/>
          <w:sz w:val="13"/>
          <w:szCs w:val="13"/>
          <w:color w:val="008000"/>
        </w:rPr>
      </w:pPr>
    </w:p>
    <w:p>
      <w:pPr>
        <w:ind w:left="40" w:right="2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$34.52 to $35.10.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15" w:lineRule="exact"/>
        <w:rPr>
          <w:rFonts w:ascii="Times New Roman" w:cs="Times New Roman" w:eastAsia="Times New Roman" w:hAnsi="Times New Roman"/>
          <w:sz w:val="13"/>
          <w:szCs w:val="13"/>
          <w:color w:val="008000"/>
        </w:rPr>
      </w:pPr>
    </w:p>
    <w:p>
      <w:pPr>
        <w:ind w:left="40" w:right="6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1/48th of the shares subject to such option vest and become exercisable in substantially equal monthly installments on each monthly anniversary of August 1, 2023, subject to the Reporting Person's continuous service to the Issuer on each such date.</w:t>
      </w:r>
    </w:p>
    <w:p>
      <w:pPr>
        <w:spacing w:after="0" w:line="8"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Mark A. Wilson,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07/02/2026</w:t>
            </w:r>
          </w:p>
        </w:tc>
        <w:tc>
          <w:tcPr>
            <w:tcW w:w="0" w:type="dxa"/>
            <w:vAlign w:val="bottom"/>
          </w:tcPr>
          <w:p>
            <w:pPr>
              <w:spacing w:after="0"/>
              <w:rPr>
                <w:sz w:val="1"/>
                <w:szCs w:val="1"/>
                <w:color w:val="auto"/>
              </w:rPr>
            </w:pPr>
          </w:p>
        </w:tc>
      </w:tr>
      <w:tr>
        <w:trPr>
          <w:trHeight w:val="89"/>
        </w:trPr>
        <w:tc>
          <w:tcPr>
            <w:tcW w:w="48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40349" TargetMode="External"/><Relationship Id="rId14" Type="http://schemas.openxmlformats.org/officeDocument/2006/relationships/hyperlink" Target="http://www.sec.gov/cgi-bin/browse-edgar?action=getcompany&amp;CIK=00019840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2026-07-02T18:02:37Z</dcterms:created>
  <dcterms:modified xsi:type="dcterms:W3CDTF">2026-07-02T18:02:37Z</dcterms:modified>
</cp:coreProperties>
</file>