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872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87299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Coulie Bernard</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SEPTERNA,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250 EAST GRAND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Septerna,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SEPN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06/26/2026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84"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680" w:type="dxa"/>
            <w:vAlign w:val="bottom"/>
            <w:gridSpan w:val="8"/>
          </w:tcPr>
          <w:p>
            <w:pPr>
              <w:jc w:val="center"/>
              <w:ind w:right="41"/>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SOUTH SAN</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94080</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FRANCISCO</w:t>
            </w: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gridSpan w:val="2"/>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37.34</w:t>
            </w:r>
          </w:p>
        </w:tc>
        <w:tc>
          <w:tcPr>
            <w:tcW w:w="140" w:type="dxa"/>
            <w:vAlign w:val="bottom"/>
          </w:tcPr>
          <w:p>
            <w:pPr>
              <w:spacing w:after="0"/>
              <w:rPr>
                <w:sz w:val="16"/>
                <w:szCs w:val="16"/>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06/26/2026</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15,000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06/25/2036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15,000</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15,000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0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underlying the stock option vest in full upon the earlier of (i) June 26, 2027 or (ii) the date of the Issuer's next annual meeting of stockholders, subject to the Reporting Person's continued service to the Issuer through such vesting date.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24.2 - Substitute Power of Attorney</w:t>
      </w:r>
    </w:p>
    <w:p>
      <w:pPr>
        <w:spacing w:after="0" w:line="5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Mark A. Wilson, Attorney-</w:t>
            </w:r>
          </w:p>
        </w:tc>
        <w:tc>
          <w:tcPr>
            <w:tcW w:w="18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06/30/2026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in-Fact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7"/>
          <w:szCs w:val="17"/>
          <w:color w:val="auto"/>
        </w:rPr>
        <w:t>SUBSTITUTE POWER OF ATTORNEY</w:t>
      </w:r>
    </w:p>
    <w:p>
      <w:pPr>
        <w:spacing w:after="0" w:line="217"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Under the terms of powers of attorney (each, a "Power of Attorney") previously filed with the U.S. Securities and Exchange Commission, the undersigned was appointed an attorney-in-fact for the below listed individuals to, among other things, execute for and on behalf of the following individuals any Form 3, Form 4, Form 5, Schedule 13D, or Schedule 13G, or any amendment(s) thereto, in accordance with Section 13 or Section 16 of the Securities Exchange Act of 1934, as amended, and the rules and regulations promulgated thereunder: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Abraham Bassan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Liz Bhatt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Bernard Coulie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Alan Ezekowitz</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Jeffrey Finer</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Jae B. Kim</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Uwe Klein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Daniel D. Long</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Shalini Sharp</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Jake Simson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Samira Shaikhly</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Jeffrey K. Tong</w:t>
      </w:r>
    </w:p>
    <w:p>
      <w:pPr>
        <w:spacing w:after="0" w:line="200"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7"/>
          <w:szCs w:val="17"/>
          <w:color w:val="auto"/>
        </w:rPr>
        <w:t>In accordance with the authority granted under each Power of Attorney, including the full power of substitution, the undersigned hereby appoints each of Gil M. Labrucherie and Mark A. Wilson, as substitute attorneys-in-fact, on behalf of the individuals listed above, with the power to exercise and execute all of the powers granted or conferred in the original Power of Attorney. For the avoidance of doubt, the foregoing appointment shall not serve as a revocation of the powers granted to the undersigned herself in each Power of Attorney.</w:t>
      </w:r>
    </w:p>
    <w:p>
      <w:pPr>
        <w:spacing w:after="0" w:line="171" w:lineRule="exact"/>
        <w:rPr>
          <w:sz w:val="20"/>
          <w:szCs w:val="20"/>
          <w:color w:val="auto"/>
        </w:rPr>
      </w:pPr>
    </w:p>
    <w:p>
      <w:pPr>
        <w:ind w:right="420"/>
        <w:spacing w:after="0" w:line="287" w:lineRule="auto"/>
        <w:rPr>
          <w:sz w:val="20"/>
          <w:szCs w:val="20"/>
          <w:color w:val="auto"/>
        </w:rPr>
      </w:pPr>
      <w:r>
        <w:rPr>
          <w:rFonts w:ascii="Times New Roman" w:cs="Times New Roman" w:eastAsia="Times New Roman" w:hAnsi="Times New Roman"/>
          <w:sz w:val="17"/>
          <w:szCs w:val="17"/>
          <w:color w:val="auto"/>
        </w:rPr>
        <w:t>This substitute Power of Attorney shall remain in full force and effect with respect to each Power of Attorney until such underlying Power of Attorney is revoked or terminated, unless earlier revoked by the undersigned in a signed writing.</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10, 2026</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/s/ Ran Xiao</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 Ran Xiao</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Title: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452755</wp:posOffset>
            </wp:positionV>
            <wp:extent cx="699389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93890" cy="41910"/>
                    </a:xfrm>
                    <a:prstGeom prst="rect">
                      <a:avLst/>
                    </a:prstGeom>
                    <a:noFill/>
                  </pic:spPr>
                </pic:pic>
              </a:graphicData>
            </a:graphic>
          </wp:anchor>
        </w:drawing>
      </w:r>
    </w:p>
    <w:sectPr>
      <w:pgSz w:w="11900" w:h="16838" w:orient="portrait"/>
      <w:cols w:equalWidth="0" w:num="1">
        <w:col w:w="10940"/>
      </w:cols>
      <w:pgMar w:left="460" w:top="742"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08895" TargetMode="External"/><Relationship Id="rId14" Type="http://schemas.openxmlformats.org/officeDocument/2006/relationships/hyperlink" Target="http://www.sec.gov/cgi-bin/browse-edgar?action=getcompany&amp;CIK=00019840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2026-06-30T18:02:20Z</dcterms:created>
  <dcterms:modified xsi:type="dcterms:W3CDTF">2026-06-30T18:02:20Z</dcterms:modified>
</cp:coreProperties>
</file>