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165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165975"/>
                    </a:xfrm>
                    <a:prstGeom prst="rect">
                      <a:avLst/>
                    </a:prstGeom>
                    <a:noFill/>
                  </pic:spPr>
                </pic:pic>
              </a:graphicData>
            </a:graphic>
          </wp:anchor>
        </w:drawing>
      </w:r>
    </w:p>
    <w:p>
      <w:pPr>
        <w:spacing w:after="0" w:line="1254" w:lineRule="exact"/>
        <w:rPr>
          <w:sz w:val="24"/>
          <w:szCs w:val="24"/>
          <w:color w:val="auto"/>
        </w:rPr>
      </w:pPr>
    </w:p>
    <w:p>
      <w:pPr>
        <w:sectPr>
          <w:pgSz w:w="11900" w:h="1685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Shaikhly Samira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77"/>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537" w:lineRule="exact"/>
        <w:rPr>
          <w:sz w:val="24"/>
          <w:szCs w:val="24"/>
          <w:color w:val="auto"/>
        </w:rPr>
      </w:pPr>
    </w:p>
    <w:p>
      <w:pPr>
        <w:sectPr>
          <w:pgSz w:w="11900" w:h="1685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540" w:type="dxa"/>
            <w:vAlign w:val="bottom"/>
            <w:gridSpan w:val="6"/>
            <w:vMerge w:val="restart"/>
          </w:tcPr>
          <w:p>
            <w:pPr>
              <w:jc w:val="right"/>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8"/>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4,355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5,148</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943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6,091</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637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6,728</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27.7831</w:t>
            </w:r>
            <w:r>
              <w:rPr>
                <w:rFonts w:ascii="Times New Roman" w:cs="Times New Roman" w:eastAsia="Times New Roman" w:hAnsi="Times New Roman"/>
                <w:sz w:val="21"/>
                <w:szCs w:val="21"/>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5,028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1,346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28.7928</w:t>
            </w:r>
            <w:r>
              <w:rPr>
                <w:rFonts w:ascii="Times New Roman" w:cs="Times New Roman" w:eastAsia="Times New Roman" w:hAnsi="Times New Roman"/>
                <w:sz w:val="21"/>
                <w:szCs w:val="21"/>
                <w:color w:val="008000"/>
                <w:w w:val="93"/>
                <w:vertAlign w:val="superscript"/>
              </w:rPr>
              <w:t>(3)</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3,682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2,889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29.6629</w:t>
            </w:r>
            <w:r>
              <w:rPr>
                <w:rFonts w:ascii="Times New Roman" w:cs="Times New Roman" w:eastAsia="Times New Roman" w:hAnsi="Times New Roman"/>
                <w:sz w:val="21"/>
                <w:szCs w:val="21"/>
                <w:color w:val="008000"/>
                <w:w w:val="93"/>
                <w:vertAlign w:val="superscript"/>
              </w:rPr>
              <w:t>(4)</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0000FF"/>
                <w:w w:val="93"/>
              </w:rPr>
              <w:t>793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Security</w:t>
            </w:r>
          </w:p>
        </w:tc>
        <w:tc>
          <w:tcPr>
            <w:tcW w:w="2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(Instr. 5)</w:t>
            </w:r>
          </w:p>
        </w:tc>
        <w:tc>
          <w:tcPr>
            <w:tcW w:w="2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1.55</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rPr>
              <w:t>4,355</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03/30/2033</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4,355</w:t>
            </w: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11,614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2.76</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2"/>
              </w:rPr>
              <w:t>943</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11/11/2033</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943</w:t>
            </w: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5"/>
              </w:rPr>
              <w:t>2,517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2.76</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2"/>
              </w:rPr>
              <w:t>637</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03/19/2034</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637</w:t>
            </w: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5"/>
              </w:rPr>
              <w:t>4,464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sales plan adopted by the Reporting Person on October 31, 2025.</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$27.24 to $28.23.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$28.25 to $29.15.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$29.29 to $30.08.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February 1, 2024, with the remainder vesting in thirty-six substantially equal monthly installments thereafter, subject to the Reporting Person's continuous service the Issuer on each such date.</w:t>
      </w:r>
    </w:p>
    <w:p>
      <w:pPr>
        <w:spacing w:after="0" w:line="16" w:lineRule="exact"/>
        <w:rPr>
          <w:rFonts w:ascii="Times New Roman" w:cs="Times New Roman" w:eastAsia="Times New Roman" w:hAnsi="Times New Roman"/>
          <w:sz w:val="13"/>
          <w:szCs w:val="13"/>
          <w:color w:val="008000"/>
        </w:rPr>
      </w:pPr>
    </w:p>
    <w:p>
      <w:pPr>
        <w:ind w:left="40" w:right="7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1/48th of the shares subject to such option vest and become exercisable in substantially equal monthly installments on each monthly anniversary of March 1, 2024, subject to the Reporting Person's continuous service to the Issuer on each such date.</w:t>
      </w:r>
    </w:p>
    <w:p>
      <w:pPr>
        <w:sectPr>
          <w:pgSz w:w="11900" w:h="16858" w:orient="portrait"/>
          <w:cols w:equalWidth="0" w:num="1">
            <w:col w:w="11080"/>
          </w:cols>
          <w:pgMar w:left="460" w:top="216" w:right="359" w:bottom="0" w:gutter="0" w:footer="0" w:header="0"/>
          <w:type w:val="continuous"/>
        </w:sectPr>
      </w:pPr>
    </w:p>
    <w:p>
      <w:pPr>
        <w:spacing w:after="0" w:line="4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Mark A. Wilson, Attorney-</w:t>
      </w:r>
      <w:r>
        <w:rPr>
          <w:sz w:val="20"/>
          <w:szCs w:val="20"/>
          <w:color w:val="auto"/>
        </w:rPr>
        <w:tab/>
      </w: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5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40363"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2026-06-03T18:13:14Z</dcterms:created>
  <dcterms:modified xsi:type="dcterms:W3CDTF">2026-06-03T18:13:14Z</dcterms:modified>
</cp:coreProperties>
</file>